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ED" w:rsidRPr="00450FDE" w:rsidRDefault="00C8027D" w:rsidP="00CD2B71">
      <w:pPr>
        <w:pStyle w:val="StyleArial14ptBoldJustified"/>
        <w:pBdr>
          <w:bottom w:val="thickThinSmallGap" w:sz="24" w:space="1" w:color="4F81BD"/>
        </w:pBdr>
        <w:shd w:val="clear" w:color="auto" w:fill="auto"/>
        <w:spacing w:line="276" w:lineRule="auto"/>
        <w:rPr>
          <w:rFonts w:cs="Arial"/>
          <w:color w:val="365F91"/>
          <w:szCs w:val="28"/>
        </w:rPr>
      </w:pPr>
      <w:r w:rsidRPr="00450FDE">
        <w:rPr>
          <w:rFonts w:cs="Arial"/>
          <w:color w:val="365F91"/>
          <w:szCs w:val="28"/>
        </w:rPr>
        <w:t>Unidade 7</w:t>
      </w:r>
      <w:r w:rsidR="00D510ED" w:rsidRPr="00450FDE">
        <w:rPr>
          <w:rFonts w:cs="Arial"/>
          <w:color w:val="365F91"/>
          <w:szCs w:val="28"/>
        </w:rPr>
        <w:t>.3</w:t>
      </w:r>
      <w:r w:rsidR="00450FDE" w:rsidRPr="00450FDE">
        <w:rPr>
          <w:rFonts w:cs="Arial"/>
          <w:color w:val="365F91"/>
          <w:szCs w:val="28"/>
        </w:rPr>
        <w:t xml:space="preserve"> </w:t>
      </w:r>
      <w:r w:rsidR="00D510ED" w:rsidRPr="00450FDE">
        <w:rPr>
          <w:rFonts w:cs="Arial"/>
          <w:color w:val="365F91"/>
          <w:szCs w:val="28"/>
        </w:rPr>
        <w:t xml:space="preserve">- </w:t>
      </w:r>
      <w:proofErr w:type="spellStart"/>
      <w:r w:rsidR="00D510ED" w:rsidRPr="00450FDE">
        <w:rPr>
          <w:rFonts w:cs="Arial"/>
          <w:color w:val="365F91"/>
          <w:szCs w:val="28"/>
        </w:rPr>
        <w:t>Linfadenopatias</w:t>
      </w:r>
      <w:proofErr w:type="spellEnd"/>
    </w:p>
    <w:p w:rsidR="00A64D2C" w:rsidRPr="002B4E12" w:rsidRDefault="00D510ED" w:rsidP="002B4E12">
      <w:pPr>
        <w:pStyle w:val="StyleArial14ptBoldJustified"/>
        <w:shd w:val="clear" w:color="auto" w:fill="auto"/>
        <w:rPr>
          <w:rFonts w:cs="Arial"/>
          <w:sz w:val="22"/>
          <w:szCs w:val="22"/>
        </w:rPr>
      </w:pPr>
      <w:r w:rsidRPr="002B4E12">
        <w:rPr>
          <w:rFonts w:cs="Arial"/>
          <w:sz w:val="22"/>
          <w:szCs w:val="22"/>
        </w:rPr>
        <w:t>Introdução</w:t>
      </w:r>
    </w:p>
    <w:p w:rsidR="00D510ED" w:rsidRPr="001D3EF4" w:rsidRDefault="00D510ED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A infecção aguda</w:t>
      </w:r>
      <w:r w:rsidR="00A43810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pelo </w:t>
      </w:r>
      <w:proofErr w:type="spellStart"/>
      <w:proofErr w:type="gramStart"/>
      <w:r w:rsidRPr="001D3EF4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1D3EF4">
        <w:rPr>
          <w:rFonts w:ascii="Arial" w:hAnsi="Arial" w:cs="Arial"/>
          <w:sz w:val="22"/>
          <w:szCs w:val="22"/>
        </w:rPr>
        <w:t xml:space="preserve"> e algumas infecções e doenças oportunistas podem resultar em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generalizada, ou </w:t>
      </w:r>
      <w:r w:rsidR="00BD2756" w:rsidRPr="001D3EF4">
        <w:rPr>
          <w:rFonts w:ascii="Arial" w:hAnsi="Arial" w:cs="Arial"/>
          <w:sz w:val="22"/>
          <w:szCs w:val="22"/>
        </w:rPr>
        <w:t xml:space="preserve">no </w:t>
      </w:r>
      <w:r w:rsidRPr="001D3EF4">
        <w:rPr>
          <w:rFonts w:ascii="Arial" w:hAnsi="Arial" w:cs="Arial"/>
          <w:sz w:val="22"/>
          <w:szCs w:val="22"/>
        </w:rPr>
        <w:t xml:space="preserve">inchaço de alguns nódulos linfáticos. Do mesmo modo, as infecções bacterianas comuns (não específicas </w:t>
      </w:r>
      <w:r w:rsidR="00BD2756" w:rsidRPr="001D3EF4">
        <w:rPr>
          <w:rFonts w:ascii="Arial" w:hAnsi="Arial" w:cs="Arial"/>
          <w:sz w:val="22"/>
          <w:szCs w:val="22"/>
        </w:rPr>
        <w:t>a</w:t>
      </w:r>
      <w:r w:rsidRPr="001D3EF4">
        <w:rPr>
          <w:rFonts w:ascii="Arial" w:hAnsi="Arial" w:cs="Arial"/>
          <w:sz w:val="22"/>
          <w:szCs w:val="22"/>
        </w:rPr>
        <w:t xml:space="preserve">os doentes seropositivos) podem produzir o aumento do tamanho dos nódulos linfáticos. </w:t>
      </w:r>
    </w:p>
    <w:p w:rsidR="004375D6" w:rsidRPr="001D3EF4" w:rsidRDefault="004375D6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O exame cuidadoso é útil para a determinação da extensão e das características da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>, reduzindo deste modo o diagnóstico diferencial.</w:t>
      </w:r>
    </w:p>
    <w:p w:rsidR="00D510ED" w:rsidRPr="001D3EF4" w:rsidRDefault="00D510ED" w:rsidP="001D3E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510ED" w:rsidRPr="001D3EF4" w:rsidRDefault="00D510ED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Esta unidade pretende </w:t>
      </w:r>
      <w:r w:rsidR="004375D6" w:rsidRPr="001D3EF4">
        <w:rPr>
          <w:rFonts w:ascii="Arial" w:hAnsi="Arial" w:cs="Arial"/>
          <w:sz w:val="22"/>
          <w:szCs w:val="22"/>
        </w:rPr>
        <w:t>descrever</w:t>
      </w:r>
      <w:r w:rsidRPr="001D3EF4">
        <w:rPr>
          <w:rFonts w:ascii="Arial" w:hAnsi="Arial" w:cs="Arial"/>
          <w:sz w:val="22"/>
          <w:szCs w:val="22"/>
        </w:rPr>
        <w:t xml:space="preserve"> as causas mais freque</w:t>
      </w:r>
      <w:r w:rsidR="004375D6" w:rsidRPr="001D3EF4">
        <w:rPr>
          <w:rFonts w:ascii="Arial" w:hAnsi="Arial" w:cs="Arial"/>
          <w:sz w:val="22"/>
          <w:szCs w:val="22"/>
        </w:rPr>
        <w:t>ntes da</w:t>
      </w:r>
      <w:r w:rsidRPr="001D3EF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no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 seropositivo e ajudar ao TMG no seu manejo. </w:t>
      </w:r>
    </w:p>
    <w:p w:rsidR="00D510ED" w:rsidRPr="001D3EF4" w:rsidRDefault="00D510ED" w:rsidP="001D3EF4">
      <w:pPr>
        <w:pStyle w:val="StyleArial14ptBoldJustified"/>
        <w:shd w:val="clear" w:color="auto" w:fill="auto"/>
        <w:rPr>
          <w:rFonts w:cs="Arial"/>
          <w:sz w:val="22"/>
          <w:szCs w:val="22"/>
        </w:rPr>
      </w:pPr>
      <w:r w:rsidRPr="001D3EF4">
        <w:rPr>
          <w:rFonts w:cs="Arial"/>
          <w:bCs w:val="0"/>
          <w:sz w:val="22"/>
          <w:szCs w:val="22"/>
          <w:lang w:eastAsia="af-ZA"/>
        </w:rPr>
        <w:t>Nesta unidade ser</w:t>
      </w:r>
      <w:r w:rsidR="007E4C53" w:rsidRPr="001D3EF4">
        <w:rPr>
          <w:rFonts w:cs="Arial"/>
          <w:bCs w:val="0"/>
          <w:sz w:val="22"/>
          <w:szCs w:val="22"/>
          <w:lang w:eastAsia="af-ZA"/>
        </w:rPr>
        <w:t>ão</w:t>
      </w:r>
      <w:r w:rsidRPr="001D3EF4">
        <w:rPr>
          <w:rFonts w:cs="Arial"/>
          <w:bCs w:val="0"/>
          <w:sz w:val="22"/>
          <w:szCs w:val="22"/>
          <w:lang w:eastAsia="af-ZA"/>
        </w:rPr>
        <w:t xml:space="preserve"> apresentado</w:t>
      </w:r>
      <w:r w:rsidR="007E4C53" w:rsidRPr="001D3EF4">
        <w:rPr>
          <w:rFonts w:cs="Arial"/>
          <w:bCs w:val="0"/>
          <w:sz w:val="22"/>
          <w:szCs w:val="22"/>
          <w:lang w:eastAsia="af-ZA"/>
        </w:rPr>
        <w:t>s</w:t>
      </w:r>
      <w:r w:rsidRPr="001D3EF4">
        <w:rPr>
          <w:rFonts w:cs="Arial"/>
          <w:bCs w:val="0"/>
          <w:sz w:val="22"/>
          <w:szCs w:val="22"/>
          <w:lang w:eastAsia="af-ZA"/>
        </w:rPr>
        <w:t xml:space="preserve"> o</w:t>
      </w:r>
      <w:r w:rsidR="007E4C53" w:rsidRPr="001D3EF4">
        <w:rPr>
          <w:rFonts w:cs="Arial"/>
          <w:bCs w:val="0"/>
          <w:sz w:val="22"/>
          <w:szCs w:val="22"/>
          <w:lang w:eastAsia="af-ZA"/>
        </w:rPr>
        <w:t>s</w:t>
      </w:r>
      <w:r w:rsidRPr="001D3EF4">
        <w:rPr>
          <w:rFonts w:cs="Arial"/>
          <w:bCs w:val="0"/>
          <w:sz w:val="22"/>
          <w:szCs w:val="22"/>
          <w:lang w:eastAsia="af-ZA"/>
        </w:rPr>
        <w:t xml:space="preserve"> seguinte</w:t>
      </w:r>
      <w:r w:rsidR="007E4C53" w:rsidRPr="001D3EF4">
        <w:rPr>
          <w:rFonts w:cs="Arial"/>
          <w:bCs w:val="0"/>
          <w:sz w:val="22"/>
          <w:szCs w:val="22"/>
          <w:lang w:eastAsia="af-ZA"/>
        </w:rPr>
        <w:t>s</w:t>
      </w:r>
      <w:r w:rsidRPr="001D3EF4">
        <w:rPr>
          <w:rFonts w:cs="Arial"/>
          <w:bCs w:val="0"/>
          <w:sz w:val="22"/>
          <w:szCs w:val="22"/>
          <w:lang w:eastAsia="af-ZA"/>
        </w:rPr>
        <w:t xml:space="preserve"> conteúdo</w:t>
      </w:r>
      <w:r w:rsidR="007E4C53" w:rsidRPr="001D3EF4">
        <w:rPr>
          <w:rFonts w:cs="Arial"/>
          <w:bCs w:val="0"/>
          <w:sz w:val="22"/>
          <w:szCs w:val="22"/>
          <w:lang w:eastAsia="af-ZA"/>
        </w:rPr>
        <w:t>s</w:t>
      </w:r>
      <w:r w:rsidRPr="001D3EF4">
        <w:rPr>
          <w:rFonts w:cs="Arial"/>
          <w:bCs w:val="0"/>
          <w:sz w:val="22"/>
          <w:szCs w:val="22"/>
          <w:lang w:eastAsia="af-ZA"/>
        </w:rPr>
        <w:t>:</w:t>
      </w:r>
    </w:p>
    <w:p w:rsidR="00D510ED" w:rsidRPr="001D3EF4" w:rsidRDefault="00D510ED" w:rsidP="001D3EF4">
      <w:pPr>
        <w:pStyle w:val="ColorfulList-Accent11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D3EF4">
        <w:rPr>
          <w:rFonts w:ascii="Arial" w:hAnsi="Arial" w:cs="Arial"/>
          <w:color w:val="000000"/>
          <w:sz w:val="22"/>
          <w:szCs w:val="22"/>
        </w:rPr>
        <w:t xml:space="preserve">Significado da </w:t>
      </w:r>
      <w:proofErr w:type="spellStart"/>
      <w:r w:rsidRPr="001D3EF4">
        <w:rPr>
          <w:rFonts w:ascii="Arial" w:hAnsi="Arial" w:cs="Arial"/>
          <w:color w:val="000000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color w:val="000000"/>
          <w:sz w:val="22"/>
          <w:szCs w:val="22"/>
        </w:rPr>
        <w:t xml:space="preserve"> no </w:t>
      </w:r>
      <w:r w:rsidR="004375D6" w:rsidRPr="001D3EF4">
        <w:rPr>
          <w:rFonts w:ascii="Arial" w:hAnsi="Arial" w:cs="Arial"/>
          <w:color w:val="000000"/>
          <w:sz w:val="22"/>
          <w:szCs w:val="22"/>
        </w:rPr>
        <w:t>doente</w:t>
      </w:r>
      <w:r w:rsidRPr="001D3EF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738D3" w:rsidRPr="001D3EF4">
        <w:rPr>
          <w:rFonts w:ascii="Arial" w:hAnsi="Arial" w:cs="Arial"/>
          <w:bCs/>
          <w:sz w:val="22"/>
          <w:szCs w:val="22"/>
        </w:rPr>
        <w:t>HIV</w:t>
      </w:r>
      <w:proofErr w:type="spellEnd"/>
      <w:r w:rsidR="00B738D3" w:rsidRPr="001D3EF4">
        <w:rPr>
          <w:rFonts w:ascii="Arial" w:hAnsi="Arial" w:cs="Arial"/>
          <w:bCs/>
          <w:sz w:val="22"/>
          <w:szCs w:val="22"/>
        </w:rPr>
        <w:t>+</w:t>
      </w:r>
    </w:p>
    <w:p w:rsidR="00D510ED" w:rsidRPr="001D3EF4" w:rsidRDefault="00D510ED" w:rsidP="001D3EF4">
      <w:pPr>
        <w:pStyle w:val="ColorfulList-Accent11"/>
        <w:numPr>
          <w:ilvl w:val="0"/>
          <w:numId w:val="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Exame físico e características dos nódulos linfáticos</w:t>
      </w:r>
    </w:p>
    <w:p w:rsidR="00D510ED" w:rsidRPr="001D3EF4" w:rsidRDefault="00D510ED" w:rsidP="001D3EF4">
      <w:pPr>
        <w:pStyle w:val="ColorfulList-Accent11"/>
        <w:numPr>
          <w:ilvl w:val="0"/>
          <w:numId w:val="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Diagnóstico diferencial da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</w:p>
    <w:p w:rsidR="00D510ED" w:rsidRPr="00450FDE" w:rsidRDefault="00D510ED" w:rsidP="00CD2B71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450FDE">
        <w:rPr>
          <w:rFonts w:ascii="Book Antiqua" w:hAnsi="Book Antiqua" w:cs="Arial"/>
          <w:bCs w:val="0"/>
          <w:sz w:val="26"/>
          <w:szCs w:val="26"/>
          <w:lang w:eastAsia="af-ZA"/>
        </w:rPr>
        <w:t xml:space="preserve">Significado </w:t>
      </w:r>
      <w:r w:rsidRPr="00450FDE">
        <w:rPr>
          <w:rFonts w:ascii="Book Antiqua" w:hAnsi="Book Antiqua" w:cs="Arial"/>
          <w:sz w:val="26"/>
          <w:szCs w:val="26"/>
        </w:rPr>
        <w:t xml:space="preserve">da </w:t>
      </w:r>
      <w:proofErr w:type="spellStart"/>
      <w:r w:rsidRPr="00450FDE">
        <w:rPr>
          <w:rFonts w:ascii="Book Antiqua" w:hAnsi="Book Antiqua" w:cs="Arial"/>
          <w:sz w:val="26"/>
          <w:szCs w:val="26"/>
        </w:rPr>
        <w:t>Linfadenopatia</w:t>
      </w:r>
      <w:proofErr w:type="spellEnd"/>
      <w:r w:rsidRPr="00450FDE">
        <w:rPr>
          <w:rFonts w:ascii="Book Antiqua" w:hAnsi="Book Antiqua" w:cs="Arial"/>
          <w:sz w:val="26"/>
          <w:szCs w:val="26"/>
        </w:rPr>
        <w:t xml:space="preserve"> no </w:t>
      </w:r>
      <w:r w:rsidR="00DE11D1" w:rsidRPr="00450FDE">
        <w:rPr>
          <w:rFonts w:ascii="Book Antiqua" w:hAnsi="Book Antiqua" w:cs="Arial"/>
          <w:sz w:val="26"/>
          <w:szCs w:val="26"/>
        </w:rPr>
        <w:t xml:space="preserve">Doente </w:t>
      </w:r>
      <w:proofErr w:type="spellStart"/>
      <w:r w:rsidR="00DE11D1" w:rsidRPr="00450FDE">
        <w:rPr>
          <w:rFonts w:ascii="Book Antiqua" w:hAnsi="Book Antiqua" w:cs="Arial"/>
          <w:sz w:val="26"/>
          <w:szCs w:val="26"/>
        </w:rPr>
        <w:t>HIV</w:t>
      </w:r>
      <w:proofErr w:type="spellEnd"/>
      <w:r w:rsidR="00DE11D1" w:rsidRPr="00450FDE">
        <w:rPr>
          <w:rFonts w:ascii="Book Antiqua" w:hAnsi="Book Antiqua" w:cs="Arial"/>
          <w:sz w:val="26"/>
          <w:szCs w:val="26"/>
        </w:rPr>
        <w:t>+</w:t>
      </w:r>
    </w:p>
    <w:p w:rsidR="00D510ED" w:rsidRPr="001D3EF4" w:rsidRDefault="00D510ED" w:rsidP="001D3EF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Os nódulos linfáticos fazem parte do sistema de defesa do corpo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e o seu inchaço pode ser </w:t>
      </w:r>
      <w:r w:rsidR="00B738D3" w:rsidRPr="001D3EF4">
        <w:rPr>
          <w:rFonts w:ascii="Arial" w:hAnsi="Arial" w:cs="Arial"/>
          <w:sz w:val="22"/>
          <w:szCs w:val="22"/>
        </w:rPr>
        <w:t xml:space="preserve">um sinal </w:t>
      </w:r>
      <w:r w:rsidRPr="001D3EF4">
        <w:rPr>
          <w:rFonts w:ascii="Arial" w:hAnsi="Arial" w:cs="Arial"/>
          <w:sz w:val="22"/>
          <w:szCs w:val="22"/>
        </w:rPr>
        <w:t>da existência de uma infecção ou outro processo (por exemplo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tumor) presente no organismo. </w:t>
      </w:r>
    </w:p>
    <w:p w:rsidR="00100CA6" w:rsidRPr="001D3EF4" w:rsidRDefault="00D510ED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O conhecimento das</w:t>
      </w:r>
      <w:r w:rsidR="0034403B" w:rsidRPr="001D3EF4">
        <w:rPr>
          <w:rFonts w:ascii="Arial" w:hAnsi="Arial" w:cs="Arial"/>
          <w:sz w:val="22"/>
          <w:szCs w:val="22"/>
        </w:rPr>
        <w:t xml:space="preserve"> doenças frequentemente associadas </w:t>
      </w:r>
      <w:r w:rsidR="00B738D3" w:rsidRPr="001D3EF4">
        <w:rPr>
          <w:rFonts w:ascii="Arial" w:hAnsi="Arial" w:cs="Arial"/>
          <w:sz w:val="22"/>
          <w:szCs w:val="22"/>
        </w:rPr>
        <w:t>à</w:t>
      </w:r>
      <w:r w:rsidRPr="001D3E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3A4"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="00FC13A4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no doente seropositivo vai </w:t>
      </w:r>
      <w:proofErr w:type="gramStart"/>
      <w:r w:rsidRPr="001D3EF4">
        <w:rPr>
          <w:rFonts w:ascii="Arial" w:hAnsi="Arial" w:cs="Arial"/>
          <w:sz w:val="22"/>
          <w:szCs w:val="22"/>
        </w:rPr>
        <w:t>ajudar</w:t>
      </w:r>
      <w:proofErr w:type="gramEnd"/>
      <w:r w:rsidRPr="001D3EF4">
        <w:rPr>
          <w:rFonts w:ascii="Arial" w:hAnsi="Arial" w:cs="Arial"/>
          <w:sz w:val="22"/>
          <w:szCs w:val="22"/>
        </w:rPr>
        <w:t xml:space="preserve"> o TMG a fazer um diagnóstico diferencial </w:t>
      </w:r>
      <w:r w:rsidR="00A21E90" w:rsidRPr="001D3EF4">
        <w:rPr>
          <w:rFonts w:ascii="Arial" w:hAnsi="Arial" w:cs="Arial"/>
          <w:sz w:val="22"/>
          <w:szCs w:val="22"/>
        </w:rPr>
        <w:t>durante a</w:t>
      </w:r>
      <w:r w:rsidR="004375D6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>avali</w:t>
      </w:r>
      <w:r w:rsidR="00FC13A4" w:rsidRPr="001D3EF4">
        <w:rPr>
          <w:rFonts w:ascii="Arial" w:hAnsi="Arial" w:cs="Arial"/>
          <w:sz w:val="22"/>
          <w:szCs w:val="22"/>
        </w:rPr>
        <w:t>ação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100CA6" w:rsidRPr="001D3EF4">
        <w:rPr>
          <w:rFonts w:ascii="Arial" w:hAnsi="Arial" w:cs="Arial"/>
          <w:sz w:val="22"/>
          <w:szCs w:val="22"/>
        </w:rPr>
        <w:t>destes doentes</w:t>
      </w:r>
      <w:r w:rsidRPr="001D3EF4">
        <w:rPr>
          <w:rFonts w:ascii="Arial" w:hAnsi="Arial" w:cs="Arial"/>
          <w:sz w:val="22"/>
          <w:szCs w:val="22"/>
        </w:rPr>
        <w:t xml:space="preserve">. </w:t>
      </w:r>
    </w:p>
    <w:p w:rsidR="007C760D" w:rsidRPr="001D3EF4" w:rsidRDefault="00D510ED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A partir de algumas características clínicas dos nódulos linfáticos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clínico pode </w:t>
      </w:r>
      <w:r w:rsidR="00B738D3" w:rsidRPr="001D3EF4">
        <w:rPr>
          <w:rFonts w:ascii="Arial" w:hAnsi="Arial" w:cs="Arial"/>
          <w:sz w:val="22"/>
          <w:szCs w:val="22"/>
        </w:rPr>
        <w:t xml:space="preserve">determinar </w:t>
      </w:r>
      <w:r w:rsidRPr="001D3EF4">
        <w:rPr>
          <w:rFonts w:ascii="Arial" w:hAnsi="Arial" w:cs="Arial"/>
          <w:sz w:val="22"/>
          <w:szCs w:val="22"/>
        </w:rPr>
        <w:t>as causas que produzem</w:t>
      </w:r>
      <w:r w:rsidR="00100CA6" w:rsidRPr="001D3EF4">
        <w:rPr>
          <w:rFonts w:ascii="Arial" w:hAnsi="Arial" w:cs="Arial"/>
          <w:sz w:val="22"/>
          <w:szCs w:val="22"/>
        </w:rPr>
        <w:t xml:space="preserve"> as </w:t>
      </w:r>
      <w:proofErr w:type="spellStart"/>
      <w:r w:rsidR="00100CA6" w:rsidRPr="001D3EF4">
        <w:rPr>
          <w:rFonts w:ascii="Arial" w:hAnsi="Arial" w:cs="Arial"/>
          <w:sz w:val="22"/>
          <w:szCs w:val="22"/>
        </w:rPr>
        <w:t>linfodenopatias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. </w:t>
      </w:r>
      <w:r w:rsidR="00BD2756" w:rsidRPr="001D3EF4">
        <w:rPr>
          <w:rFonts w:ascii="Arial" w:hAnsi="Arial" w:cs="Arial"/>
          <w:sz w:val="22"/>
          <w:szCs w:val="22"/>
        </w:rPr>
        <w:t>Em</w:t>
      </w:r>
      <w:r w:rsidR="00B738D3" w:rsidRPr="001D3EF4">
        <w:rPr>
          <w:rFonts w:ascii="Arial" w:hAnsi="Arial" w:cs="Arial"/>
          <w:sz w:val="22"/>
          <w:szCs w:val="22"/>
        </w:rPr>
        <w:t xml:space="preserve"> certos casos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="00B738D3" w:rsidRPr="001D3EF4">
        <w:rPr>
          <w:rFonts w:ascii="Arial" w:hAnsi="Arial" w:cs="Arial"/>
          <w:sz w:val="22"/>
          <w:szCs w:val="22"/>
        </w:rPr>
        <w:t xml:space="preserve"> serão</w:t>
      </w:r>
      <w:r w:rsidRPr="001D3EF4">
        <w:rPr>
          <w:rFonts w:ascii="Arial" w:hAnsi="Arial" w:cs="Arial"/>
          <w:sz w:val="22"/>
          <w:szCs w:val="22"/>
        </w:rPr>
        <w:t xml:space="preserve"> necessárias </w:t>
      </w:r>
      <w:r w:rsidR="00B738D3" w:rsidRPr="001D3EF4">
        <w:rPr>
          <w:rFonts w:ascii="Arial" w:hAnsi="Arial" w:cs="Arial"/>
          <w:sz w:val="22"/>
          <w:szCs w:val="22"/>
        </w:rPr>
        <w:t xml:space="preserve">determinadas </w:t>
      </w:r>
      <w:r w:rsidRPr="001D3EF4">
        <w:rPr>
          <w:rFonts w:ascii="Arial" w:hAnsi="Arial" w:cs="Arial"/>
          <w:sz w:val="22"/>
          <w:szCs w:val="22"/>
        </w:rPr>
        <w:t>técnicas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como a punção ou a bi</w:t>
      </w:r>
      <w:r w:rsidR="00B738D3" w:rsidRPr="001D3EF4">
        <w:rPr>
          <w:rFonts w:ascii="Arial" w:hAnsi="Arial" w:cs="Arial"/>
          <w:sz w:val="22"/>
          <w:szCs w:val="22"/>
        </w:rPr>
        <w:t>ó</w:t>
      </w:r>
      <w:r w:rsidRPr="001D3EF4">
        <w:rPr>
          <w:rFonts w:ascii="Arial" w:hAnsi="Arial" w:cs="Arial"/>
          <w:sz w:val="22"/>
          <w:szCs w:val="22"/>
        </w:rPr>
        <w:t>psia para chegar a um diagnóstic</w:t>
      </w:r>
      <w:r w:rsidR="00100CA6" w:rsidRPr="001D3EF4">
        <w:rPr>
          <w:rFonts w:ascii="Arial" w:hAnsi="Arial" w:cs="Arial"/>
          <w:sz w:val="22"/>
          <w:szCs w:val="22"/>
        </w:rPr>
        <w:t>o</w:t>
      </w:r>
      <w:r w:rsidR="00BD2756" w:rsidRPr="001D3EF4">
        <w:rPr>
          <w:rFonts w:ascii="Arial" w:hAnsi="Arial" w:cs="Arial"/>
          <w:sz w:val="22"/>
          <w:szCs w:val="22"/>
        </w:rPr>
        <w:t xml:space="preserve"> e</w:t>
      </w:r>
      <w:r w:rsidR="00100CA6" w:rsidRPr="001D3EF4">
        <w:rPr>
          <w:rFonts w:ascii="Arial" w:hAnsi="Arial" w:cs="Arial"/>
          <w:sz w:val="22"/>
          <w:szCs w:val="22"/>
        </w:rPr>
        <w:t>,</w:t>
      </w:r>
      <w:r w:rsidR="0034403B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>nestes casos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doente deverá ser </w:t>
      </w:r>
      <w:r w:rsidR="00100CA6" w:rsidRPr="001D3EF4">
        <w:rPr>
          <w:rFonts w:ascii="Arial" w:hAnsi="Arial" w:cs="Arial"/>
          <w:sz w:val="22"/>
          <w:szCs w:val="22"/>
        </w:rPr>
        <w:t>encaminhado ao</w:t>
      </w:r>
      <w:r w:rsidR="0034403B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médico. </w:t>
      </w:r>
    </w:p>
    <w:p w:rsidR="00D510ED" w:rsidRPr="00450FDE" w:rsidRDefault="00D510ED" w:rsidP="00CD2B71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450FDE">
        <w:rPr>
          <w:rFonts w:ascii="Book Antiqua" w:hAnsi="Book Antiqua" w:cs="Arial"/>
          <w:sz w:val="26"/>
          <w:szCs w:val="26"/>
        </w:rPr>
        <w:t>Exame Físico dos Nódulos Linfáticos</w:t>
      </w:r>
    </w:p>
    <w:p w:rsidR="005B1ACC" w:rsidRPr="001D3EF4" w:rsidRDefault="00D510ED" w:rsidP="001D3EF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O exame das áreas linfáticas faz</w:t>
      </w:r>
      <w:r w:rsidR="00100CA6" w:rsidRPr="001D3EF4">
        <w:rPr>
          <w:rFonts w:ascii="Arial" w:hAnsi="Arial" w:cs="Arial"/>
          <w:sz w:val="22"/>
          <w:szCs w:val="22"/>
        </w:rPr>
        <w:t>-se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A21E90" w:rsidRPr="001D3EF4">
        <w:rPr>
          <w:rFonts w:ascii="Arial" w:hAnsi="Arial" w:cs="Arial"/>
          <w:sz w:val="22"/>
          <w:szCs w:val="22"/>
        </w:rPr>
        <w:t xml:space="preserve">com o doente posicionado em frente do </w:t>
      </w:r>
      <w:r w:rsidR="001D3EF4">
        <w:rPr>
          <w:rFonts w:ascii="Arial" w:hAnsi="Arial" w:cs="Arial"/>
          <w:sz w:val="22"/>
          <w:szCs w:val="22"/>
        </w:rPr>
        <w:t>t</w:t>
      </w:r>
      <w:r w:rsidR="00A21E90" w:rsidRPr="001D3EF4">
        <w:rPr>
          <w:rFonts w:ascii="Arial" w:hAnsi="Arial" w:cs="Arial"/>
          <w:sz w:val="22"/>
          <w:szCs w:val="22"/>
        </w:rPr>
        <w:t>écnico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A21E90" w:rsidRPr="001D3EF4">
        <w:rPr>
          <w:rFonts w:ascii="Arial" w:hAnsi="Arial" w:cs="Arial"/>
          <w:sz w:val="22"/>
          <w:szCs w:val="22"/>
        </w:rPr>
        <w:t xml:space="preserve">e </w:t>
      </w:r>
      <w:r w:rsidRPr="001D3EF4">
        <w:rPr>
          <w:rFonts w:ascii="Arial" w:hAnsi="Arial" w:cs="Arial"/>
          <w:sz w:val="22"/>
          <w:szCs w:val="22"/>
        </w:rPr>
        <w:t>de forma bilateral (por exemplo, ambas axilas ao mesmo tempo)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que permite a comparação dos dois lados</w:t>
      </w:r>
      <w:r w:rsidR="00BD2756" w:rsidRPr="001D3EF4">
        <w:rPr>
          <w:rFonts w:ascii="Arial" w:hAnsi="Arial" w:cs="Arial"/>
          <w:sz w:val="22"/>
          <w:szCs w:val="22"/>
        </w:rPr>
        <w:t xml:space="preserve"> do corpo</w:t>
      </w:r>
      <w:r w:rsidRPr="001D3EF4">
        <w:rPr>
          <w:rFonts w:ascii="Arial" w:hAnsi="Arial" w:cs="Arial"/>
          <w:sz w:val="22"/>
          <w:szCs w:val="22"/>
        </w:rPr>
        <w:t>. Sempre qu</w:t>
      </w:r>
      <w:r w:rsidR="00100CA6" w:rsidRPr="001D3EF4">
        <w:rPr>
          <w:rFonts w:ascii="Arial" w:hAnsi="Arial" w:cs="Arial"/>
          <w:sz w:val="22"/>
          <w:szCs w:val="22"/>
        </w:rPr>
        <w:t xml:space="preserve">e 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 apresenta</w:t>
      </w:r>
      <w:r w:rsidR="00100CA6" w:rsidRPr="001D3EF4">
        <w:rPr>
          <w:rFonts w:ascii="Arial" w:hAnsi="Arial" w:cs="Arial"/>
          <w:sz w:val="22"/>
          <w:szCs w:val="22"/>
        </w:rPr>
        <w:t>r</w:t>
      </w:r>
      <w:r w:rsidRPr="001D3EF4">
        <w:rPr>
          <w:rFonts w:ascii="Arial" w:hAnsi="Arial" w:cs="Arial"/>
          <w:sz w:val="22"/>
          <w:szCs w:val="22"/>
        </w:rPr>
        <w:t xml:space="preserve"> um nódulo anormal, o técnico deve avaliar os demais nódulos. Quando </w:t>
      </w:r>
      <w:r w:rsidR="00100CA6" w:rsidRPr="001D3EF4">
        <w:rPr>
          <w:rFonts w:ascii="Arial" w:hAnsi="Arial" w:cs="Arial"/>
          <w:sz w:val="22"/>
          <w:szCs w:val="22"/>
        </w:rPr>
        <w:t xml:space="preserve">se </w:t>
      </w:r>
      <w:r w:rsidRPr="001D3EF4">
        <w:rPr>
          <w:rFonts w:ascii="Arial" w:hAnsi="Arial" w:cs="Arial"/>
          <w:sz w:val="22"/>
          <w:szCs w:val="22"/>
        </w:rPr>
        <w:t>examinam</w:t>
      </w:r>
      <w:r w:rsidR="00100CA6" w:rsidRPr="001D3EF4">
        <w:rPr>
          <w:rFonts w:ascii="Arial" w:hAnsi="Arial" w:cs="Arial"/>
          <w:sz w:val="22"/>
          <w:szCs w:val="22"/>
        </w:rPr>
        <w:t xml:space="preserve"> as</w:t>
      </w:r>
      <w:r w:rsidRPr="001D3EF4">
        <w:rPr>
          <w:rFonts w:ascii="Arial" w:hAnsi="Arial" w:cs="Arial"/>
          <w:sz w:val="22"/>
          <w:szCs w:val="22"/>
        </w:rPr>
        <w:t xml:space="preserve"> adenopatias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A21E90" w:rsidRPr="001D3EF4">
        <w:rPr>
          <w:rFonts w:ascii="Arial" w:hAnsi="Arial" w:cs="Arial"/>
          <w:sz w:val="22"/>
          <w:szCs w:val="22"/>
        </w:rPr>
        <w:t>deve</w:t>
      </w:r>
      <w:r w:rsidR="0034403B" w:rsidRPr="001D3EF4">
        <w:rPr>
          <w:rFonts w:ascii="Arial" w:hAnsi="Arial" w:cs="Arial"/>
          <w:sz w:val="22"/>
          <w:szCs w:val="22"/>
        </w:rPr>
        <w:t>-se ter</w:t>
      </w:r>
      <w:r w:rsidRPr="001D3EF4">
        <w:rPr>
          <w:rFonts w:ascii="Arial" w:hAnsi="Arial" w:cs="Arial"/>
          <w:sz w:val="22"/>
          <w:szCs w:val="22"/>
        </w:rPr>
        <w:t xml:space="preserve"> em conta as seguintes características: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 xml:space="preserve">Distribuição: </w:t>
      </w:r>
      <w:r w:rsidRPr="001D3EF4">
        <w:rPr>
          <w:rFonts w:ascii="Arial" w:hAnsi="Arial" w:cs="Arial"/>
          <w:sz w:val="22"/>
          <w:szCs w:val="22"/>
        </w:rPr>
        <w:t xml:space="preserve">O primeiro </w:t>
      </w:r>
      <w:r w:rsidR="00B738D3" w:rsidRPr="001D3EF4">
        <w:rPr>
          <w:rFonts w:ascii="Arial" w:hAnsi="Arial" w:cs="Arial"/>
          <w:sz w:val="22"/>
          <w:szCs w:val="22"/>
        </w:rPr>
        <w:t>passo</w:t>
      </w:r>
      <w:r w:rsidR="00117D05" w:rsidRPr="001D3EF4">
        <w:rPr>
          <w:rFonts w:ascii="Arial" w:hAnsi="Arial" w:cs="Arial"/>
          <w:sz w:val="22"/>
          <w:szCs w:val="22"/>
        </w:rPr>
        <w:t xml:space="preserve"> é</w:t>
      </w:r>
      <w:r w:rsidR="00706947" w:rsidRPr="001D3EF4">
        <w:rPr>
          <w:rFonts w:ascii="Arial" w:hAnsi="Arial" w:cs="Arial"/>
          <w:sz w:val="22"/>
          <w:szCs w:val="22"/>
        </w:rPr>
        <w:t xml:space="preserve"> </w:t>
      </w:r>
      <w:r w:rsidR="0034403B" w:rsidRPr="001D3EF4">
        <w:rPr>
          <w:rFonts w:ascii="Arial" w:hAnsi="Arial" w:cs="Arial"/>
          <w:sz w:val="22"/>
          <w:szCs w:val="22"/>
        </w:rPr>
        <w:t>averigua</w:t>
      </w:r>
      <w:r w:rsidR="00B738D3" w:rsidRPr="001D3EF4">
        <w:rPr>
          <w:rFonts w:ascii="Arial" w:hAnsi="Arial" w:cs="Arial"/>
          <w:sz w:val="22"/>
          <w:szCs w:val="22"/>
        </w:rPr>
        <w:t>r</w:t>
      </w:r>
      <w:r w:rsidR="0034403B" w:rsidRPr="001D3EF4">
        <w:rPr>
          <w:rFonts w:ascii="Arial" w:hAnsi="Arial" w:cs="Arial"/>
          <w:sz w:val="22"/>
          <w:szCs w:val="22"/>
        </w:rPr>
        <w:t xml:space="preserve"> se</w:t>
      </w:r>
      <w:r w:rsidRPr="001D3EF4">
        <w:rPr>
          <w:rFonts w:ascii="Arial" w:hAnsi="Arial" w:cs="Arial"/>
          <w:sz w:val="22"/>
          <w:szCs w:val="22"/>
        </w:rPr>
        <w:t xml:space="preserve"> a adenopatia afecta somente </w:t>
      </w:r>
      <w:r w:rsidR="00100CA6" w:rsidRPr="001D3EF4">
        <w:rPr>
          <w:rFonts w:ascii="Arial" w:hAnsi="Arial" w:cs="Arial"/>
          <w:sz w:val="22"/>
          <w:szCs w:val="22"/>
        </w:rPr>
        <w:t>uma</w:t>
      </w:r>
      <w:r w:rsidRPr="001D3EF4">
        <w:rPr>
          <w:rFonts w:ascii="Arial" w:hAnsi="Arial" w:cs="Arial"/>
          <w:sz w:val="22"/>
          <w:szCs w:val="22"/>
        </w:rPr>
        <w:t xml:space="preserve"> área linfática (por exemplo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uma axila) ou a várias</w:t>
      </w:r>
      <w:r w:rsidR="00BD2756" w:rsidRPr="001D3EF4">
        <w:rPr>
          <w:rFonts w:ascii="Arial" w:hAnsi="Arial" w:cs="Arial"/>
          <w:sz w:val="22"/>
          <w:szCs w:val="22"/>
        </w:rPr>
        <w:t xml:space="preserve"> regiões do corpo</w:t>
      </w:r>
      <w:r w:rsidRPr="001D3EF4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generalizada é frequente nos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s seropositivos e pode </w:t>
      </w:r>
      <w:r w:rsidR="00100CA6" w:rsidRPr="001D3EF4">
        <w:rPr>
          <w:rFonts w:ascii="Arial" w:hAnsi="Arial" w:cs="Arial"/>
          <w:sz w:val="22"/>
          <w:szCs w:val="22"/>
        </w:rPr>
        <w:t xml:space="preserve">resultar </w:t>
      </w:r>
      <w:r w:rsidR="0034403B" w:rsidRPr="001D3EF4">
        <w:rPr>
          <w:rFonts w:ascii="Arial" w:hAnsi="Arial" w:cs="Arial"/>
          <w:sz w:val="22"/>
          <w:szCs w:val="22"/>
        </w:rPr>
        <w:t>da própria</w:t>
      </w:r>
      <w:r w:rsidR="00C52F57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infecção pelo </w:t>
      </w:r>
      <w:proofErr w:type="spellStart"/>
      <w:proofErr w:type="gramStart"/>
      <w:r w:rsidRPr="001D3EF4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1D3EF4">
        <w:rPr>
          <w:rFonts w:ascii="Arial" w:hAnsi="Arial" w:cs="Arial"/>
          <w:sz w:val="22"/>
          <w:szCs w:val="22"/>
        </w:rPr>
        <w:t>.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Tamanho</w:t>
      </w:r>
      <w:r w:rsidRPr="001D3EF4">
        <w:rPr>
          <w:rFonts w:ascii="Arial" w:hAnsi="Arial" w:cs="Arial"/>
          <w:sz w:val="22"/>
          <w:szCs w:val="22"/>
        </w:rPr>
        <w:t>: Geralmente</w:t>
      </w:r>
      <w:r w:rsidR="001D3EF4">
        <w:rPr>
          <w:rFonts w:ascii="Arial" w:hAnsi="Arial" w:cs="Arial"/>
          <w:sz w:val="22"/>
          <w:szCs w:val="22"/>
        </w:rPr>
        <w:t xml:space="preserve"> os nódulos que medem mais de </w:t>
      </w:r>
      <w:proofErr w:type="spellStart"/>
      <w:r w:rsidR="001D3EF4">
        <w:rPr>
          <w:rFonts w:ascii="Arial" w:hAnsi="Arial" w:cs="Arial"/>
          <w:sz w:val="22"/>
          <w:szCs w:val="22"/>
        </w:rPr>
        <w:t>1</w:t>
      </w:r>
      <w:r w:rsidRPr="001D3EF4">
        <w:rPr>
          <w:rFonts w:ascii="Arial" w:hAnsi="Arial" w:cs="Arial"/>
          <w:sz w:val="22"/>
          <w:szCs w:val="22"/>
        </w:rPr>
        <w:t>cm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são anormais. 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Consistência</w:t>
      </w:r>
      <w:r w:rsidRPr="001D3EF4">
        <w:rPr>
          <w:rFonts w:ascii="Arial" w:hAnsi="Arial" w:cs="Arial"/>
          <w:sz w:val="22"/>
          <w:szCs w:val="22"/>
        </w:rPr>
        <w:t>: Duros (podem ser cancerosos), macios (pouco específicos) ou esponjosos (pode ser linfoma)</w:t>
      </w:r>
      <w:r w:rsidR="00B738D3" w:rsidRPr="001D3EF4">
        <w:rPr>
          <w:rFonts w:ascii="Arial" w:hAnsi="Arial" w:cs="Arial"/>
          <w:sz w:val="22"/>
          <w:szCs w:val="22"/>
        </w:rPr>
        <w:t>.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Dor</w:t>
      </w:r>
      <w:r w:rsidRPr="001D3EF4">
        <w:rPr>
          <w:rFonts w:ascii="Arial" w:hAnsi="Arial" w:cs="Arial"/>
          <w:sz w:val="22"/>
          <w:szCs w:val="22"/>
        </w:rPr>
        <w:t xml:space="preserve">: Os nódulos dolorosos podem implicar infecção ou inflamação. Os nódulos produzidos por linfoma ou </w:t>
      </w:r>
      <w:proofErr w:type="spellStart"/>
      <w:r w:rsidRPr="001D3EF4">
        <w:rPr>
          <w:rFonts w:ascii="Arial" w:hAnsi="Arial" w:cs="Arial"/>
          <w:sz w:val="22"/>
          <w:szCs w:val="22"/>
        </w:rPr>
        <w:t>TB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não doem.</w:t>
      </w:r>
    </w:p>
    <w:p w:rsidR="00DE30B3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Fixação</w:t>
      </w:r>
      <w:r w:rsidRPr="001D3EF4">
        <w:rPr>
          <w:rFonts w:ascii="Arial" w:hAnsi="Arial" w:cs="Arial"/>
          <w:sz w:val="22"/>
          <w:szCs w:val="22"/>
        </w:rPr>
        <w:t xml:space="preserve">: </w:t>
      </w:r>
      <w:r w:rsidR="00706947" w:rsidRPr="001D3EF4">
        <w:rPr>
          <w:rFonts w:ascii="Arial" w:hAnsi="Arial" w:cs="Arial"/>
          <w:sz w:val="22"/>
          <w:szCs w:val="22"/>
        </w:rPr>
        <w:t>Os nódulos linfáticos q</w:t>
      </w:r>
      <w:r w:rsidRPr="001D3EF4">
        <w:rPr>
          <w:rFonts w:ascii="Arial" w:hAnsi="Arial" w:cs="Arial"/>
          <w:sz w:val="22"/>
          <w:szCs w:val="22"/>
        </w:rPr>
        <w:t xml:space="preserve">uando </w:t>
      </w:r>
      <w:r w:rsidR="00E20FC4" w:rsidRPr="001D3EF4">
        <w:rPr>
          <w:rFonts w:ascii="Arial" w:hAnsi="Arial" w:cs="Arial"/>
          <w:sz w:val="22"/>
          <w:szCs w:val="22"/>
        </w:rPr>
        <w:t xml:space="preserve">são </w:t>
      </w:r>
      <w:r w:rsidRPr="001D3EF4">
        <w:rPr>
          <w:rFonts w:ascii="Arial" w:hAnsi="Arial" w:cs="Arial"/>
          <w:sz w:val="22"/>
          <w:szCs w:val="22"/>
        </w:rPr>
        <w:t>apalpa</w:t>
      </w:r>
      <w:r w:rsidR="00706947" w:rsidRPr="001D3EF4">
        <w:rPr>
          <w:rFonts w:ascii="Arial" w:hAnsi="Arial" w:cs="Arial"/>
          <w:sz w:val="22"/>
          <w:szCs w:val="22"/>
        </w:rPr>
        <w:t>dos</w:t>
      </w:r>
      <w:proofErr w:type="gramStart"/>
      <w:r w:rsidR="00706947" w:rsidRPr="001D3EF4">
        <w:rPr>
          <w:rFonts w:ascii="Arial" w:hAnsi="Arial" w:cs="Arial"/>
          <w:sz w:val="22"/>
          <w:szCs w:val="22"/>
        </w:rPr>
        <w:t>,</w:t>
      </w:r>
      <w:proofErr w:type="gramEnd"/>
      <w:r w:rsidR="00706947" w:rsidRPr="001D3EF4">
        <w:rPr>
          <w:rFonts w:ascii="Arial" w:hAnsi="Arial" w:cs="Arial"/>
          <w:sz w:val="22"/>
          <w:szCs w:val="22"/>
        </w:rPr>
        <w:t xml:space="preserve"> </w:t>
      </w:r>
      <w:r w:rsidR="00E20FC4" w:rsidRPr="001D3EF4">
        <w:rPr>
          <w:rFonts w:ascii="Arial" w:hAnsi="Arial" w:cs="Arial"/>
          <w:sz w:val="22"/>
          <w:szCs w:val="22"/>
        </w:rPr>
        <w:t>deve-se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E20FC4" w:rsidRPr="001D3EF4">
        <w:rPr>
          <w:rFonts w:ascii="Arial" w:hAnsi="Arial" w:cs="Arial"/>
          <w:sz w:val="22"/>
          <w:szCs w:val="22"/>
        </w:rPr>
        <w:t>verificar</w:t>
      </w:r>
      <w:r w:rsidRPr="001D3EF4">
        <w:rPr>
          <w:rFonts w:ascii="Arial" w:hAnsi="Arial" w:cs="Arial"/>
          <w:sz w:val="22"/>
          <w:szCs w:val="22"/>
        </w:rPr>
        <w:t xml:space="preserve"> se estes aderem </w:t>
      </w:r>
      <w:r w:rsidR="00BD2756" w:rsidRPr="001D3EF4">
        <w:rPr>
          <w:rFonts w:ascii="Arial" w:hAnsi="Arial" w:cs="Arial"/>
          <w:sz w:val="22"/>
          <w:szCs w:val="22"/>
        </w:rPr>
        <w:t>à</w:t>
      </w:r>
      <w:r w:rsidR="00706947" w:rsidRPr="001D3EF4">
        <w:rPr>
          <w:rFonts w:ascii="Arial" w:hAnsi="Arial" w:cs="Arial"/>
          <w:sz w:val="22"/>
          <w:szCs w:val="22"/>
        </w:rPr>
        <w:t>s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Pr="00DE30B3">
        <w:rPr>
          <w:rFonts w:ascii="Arial" w:hAnsi="Arial" w:cs="Arial"/>
          <w:sz w:val="22"/>
          <w:szCs w:val="22"/>
        </w:rPr>
        <w:t xml:space="preserve">estruturas mais profundas (ou seja, estão fixos) ou </w:t>
      </w:r>
      <w:r w:rsidR="00E20FC4" w:rsidRPr="00DE30B3">
        <w:rPr>
          <w:rFonts w:ascii="Arial" w:hAnsi="Arial" w:cs="Arial"/>
          <w:sz w:val="22"/>
          <w:szCs w:val="22"/>
        </w:rPr>
        <w:t>se</w:t>
      </w:r>
      <w:r w:rsidRPr="00DE30B3">
        <w:rPr>
          <w:rFonts w:ascii="Arial" w:hAnsi="Arial" w:cs="Arial"/>
          <w:sz w:val="22"/>
          <w:szCs w:val="22"/>
        </w:rPr>
        <w:t xml:space="preserve"> são móveis.</w:t>
      </w:r>
    </w:p>
    <w:p w:rsidR="0038249C" w:rsidRPr="00DE30B3" w:rsidRDefault="00D510ED" w:rsidP="00DE30B3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E30B3">
        <w:rPr>
          <w:rFonts w:ascii="Arial" w:hAnsi="Arial" w:cs="Arial"/>
          <w:b/>
          <w:sz w:val="22"/>
          <w:szCs w:val="22"/>
        </w:rPr>
        <w:t xml:space="preserve">Flutuação: </w:t>
      </w:r>
      <w:r w:rsidR="00706947" w:rsidRPr="00DE30B3">
        <w:rPr>
          <w:rFonts w:ascii="Arial" w:hAnsi="Arial" w:cs="Arial"/>
          <w:sz w:val="22"/>
          <w:szCs w:val="22"/>
        </w:rPr>
        <w:t>A</w:t>
      </w:r>
      <w:r w:rsidRPr="00DE30B3">
        <w:rPr>
          <w:rFonts w:ascii="Arial" w:hAnsi="Arial" w:cs="Arial"/>
          <w:sz w:val="22"/>
          <w:szCs w:val="22"/>
        </w:rPr>
        <w:t xml:space="preserve"> presença de flutuação (o centro do nódulo é mais macio, sugerindo a presença de pus ou sangue) ou supuração activa na região dos nódulos linfáticos é indicativa de abcesso</w:t>
      </w:r>
      <w:r w:rsidR="00706947" w:rsidRPr="00DE30B3">
        <w:rPr>
          <w:rFonts w:ascii="Arial" w:hAnsi="Arial" w:cs="Arial"/>
          <w:sz w:val="22"/>
          <w:szCs w:val="22"/>
        </w:rPr>
        <w:t>,</w:t>
      </w:r>
      <w:r w:rsidR="00BD2756" w:rsidRPr="00DE30B3">
        <w:rPr>
          <w:rFonts w:ascii="Arial" w:hAnsi="Arial" w:cs="Arial"/>
          <w:sz w:val="22"/>
          <w:szCs w:val="22"/>
        </w:rPr>
        <w:t xml:space="preserve"> e</w:t>
      </w:r>
      <w:r w:rsidRPr="00DE30B3">
        <w:rPr>
          <w:rFonts w:ascii="Arial" w:hAnsi="Arial" w:cs="Arial"/>
          <w:sz w:val="22"/>
          <w:szCs w:val="22"/>
        </w:rPr>
        <w:t xml:space="preserve"> deve ser </w:t>
      </w:r>
      <w:r w:rsidR="00F90A09" w:rsidRPr="00DE30B3">
        <w:rPr>
          <w:rFonts w:ascii="Arial" w:hAnsi="Arial" w:cs="Arial"/>
          <w:sz w:val="22"/>
          <w:szCs w:val="22"/>
        </w:rPr>
        <w:t>drenado</w:t>
      </w:r>
      <w:r w:rsidRPr="00DE30B3">
        <w:rPr>
          <w:rFonts w:ascii="Arial" w:hAnsi="Arial" w:cs="Arial"/>
          <w:sz w:val="22"/>
          <w:szCs w:val="22"/>
        </w:rPr>
        <w:t>.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 xml:space="preserve">Associação com hepatomegalia ou esplenomegalia: </w:t>
      </w:r>
      <w:r w:rsidRPr="001D3EF4">
        <w:rPr>
          <w:rFonts w:ascii="Arial" w:hAnsi="Arial" w:cs="Arial"/>
          <w:sz w:val="22"/>
          <w:szCs w:val="22"/>
        </w:rPr>
        <w:t xml:space="preserve">Quando a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periférica (pescoço, axilas ou virilhas) </w:t>
      </w:r>
      <w:r w:rsidR="00706947" w:rsidRPr="001D3EF4">
        <w:rPr>
          <w:rFonts w:ascii="Arial" w:hAnsi="Arial" w:cs="Arial"/>
          <w:sz w:val="22"/>
          <w:szCs w:val="22"/>
        </w:rPr>
        <w:t>é</w:t>
      </w:r>
      <w:r w:rsidRPr="001D3EF4">
        <w:rPr>
          <w:rFonts w:ascii="Arial" w:hAnsi="Arial" w:cs="Arial"/>
          <w:sz w:val="22"/>
          <w:szCs w:val="22"/>
        </w:rPr>
        <w:t xml:space="preserve"> acompanha</w:t>
      </w:r>
      <w:r w:rsidR="00706947" w:rsidRPr="001D3EF4">
        <w:rPr>
          <w:rFonts w:ascii="Arial" w:hAnsi="Arial" w:cs="Arial"/>
          <w:sz w:val="22"/>
          <w:szCs w:val="22"/>
        </w:rPr>
        <w:t>da</w:t>
      </w:r>
      <w:r w:rsidRPr="001D3EF4">
        <w:rPr>
          <w:rFonts w:ascii="Arial" w:hAnsi="Arial" w:cs="Arial"/>
          <w:sz w:val="22"/>
          <w:szCs w:val="22"/>
        </w:rPr>
        <w:t xml:space="preserve"> de aumento do fígado ou baço, o</w:t>
      </w:r>
      <w:r w:rsidR="00706947" w:rsidRPr="001D3EF4">
        <w:rPr>
          <w:rFonts w:ascii="Arial" w:hAnsi="Arial" w:cs="Arial"/>
          <w:sz w:val="22"/>
          <w:szCs w:val="22"/>
        </w:rPr>
        <w:t>u</w:t>
      </w:r>
      <w:r w:rsidRPr="001D3EF4">
        <w:rPr>
          <w:rFonts w:ascii="Arial" w:hAnsi="Arial" w:cs="Arial"/>
          <w:sz w:val="22"/>
          <w:szCs w:val="22"/>
        </w:rPr>
        <w:t xml:space="preserve"> da presença de outras adenopatias abdominais (a </w:t>
      </w:r>
      <w:r w:rsidR="00706947" w:rsidRPr="001D3EF4">
        <w:rPr>
          <w:rFonts w:ascii="Arial" w:hAnsi="Arial" w:cs="Arial"/>
          <w:sz w:val="22"/>
          <w:szCs w:val="22"/>
        </w:rPr>
        <w:t>a</w:t>
      </w:r>
      <w:r w:rsidRPr="001D3EF4">
        <w:rPr>
          <w:rFonts w:ascii="Arial" w:hAnsi="Arial" w:cs="Arial"/>
          <w:sz w:val="22"/>
          <w:szCs w:val="22"/>
        </w:rPr>
        <w:t xml:space="preserve">palpação profunda abdominal pode algumas vezes </w:t>
      </w:r>
      <w:r w:rsidRPr="001D3EF4">
        <w:rPr>
          <w:rFonts w:ascii="Arial" w:hAnsi="Arial" w:cs="Arial"/>
          <w:sz w:val="22"/>
          <w:szCs w:val="22"/>
        </w:rPr>
        <w:lastRenderedPageBreak/>
        <w:t>revelar inchaço dos nódulos)</w:t>
      </w:r>
      <w:r w:rsidR="00BD2756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podemos estar frente a um caso de linfoma ou </w:t>
      </w:r>
      <w:proofErr w:type="spellStart"/>
      <w:r w:rsidRPr="001D3EF4">
        <w:rPr>
          <w:rFonts w:ascii="Arial" w:hAnsi="Arial" w:cs="Arial"/>
          <w:sz w:val="22"/>
          <w:szCs w:val="22"/>
        </w:rPr>
        <w:t>TB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extrapulmonar.</w:t>
      </w:r>
    </w:p>
    <w:p w:rsidR="00D510ED" w:rsidRPr="001D3EF4" w:rsidRDefault="00D510ED" w:rsidP="001D3EF4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 xml:space="preserve">Associado com infecção localizada (pele, orofaringe, ouvidos): </w:t>
      </w:r>
      <w:r w:rsidR="00BD2756" w:rsidRPr="001D3EF4">
        <w:rPr>
          <w:rFonts w:ascii="Arial" w:hAnsi="Arial" w:cs="Arial"/>
          <w:sz w:val="22"/>
          <w:szCs w:val="22"/>
        </w:rPr>
        <w:t>A</w:t>
      </w:r>
      <w:r w:rsidRPr="001D3EF4">
        <w:rPr>
          <w:rFonts w:ascii="Arial" w:hAnsi="Arial" w:cs="Arial"/>
          <w:sz w:val="22"/>
          <w:szCs w:val="22"/>
        </w:rPr>
        <w:t>s adenopatias podem inch</w:t>
      </w:r>
      <w:r w:rsidR="00706947" w:rsidRPr="001D3EF4">
        <w:rPr>
          <w:rFonts w:ascii="Arial" w:hAnsi="Arial" w:cs="Arial"/>
          <w:sz w:val="22"/>
          <w:szCs w:val="22"/>
        </w:rPr>
        <w:t>ar</w:t>
      </w:r>
      <w:r w:rsidRPr="001D3EF4">
        <w:rPr>
          <w:rFonts w:ascii="Arial" w:hAnsi="Arial" w:cs="Arial"/>
          <w:sz w:val="22"/>
          <w:szCs w:val="22"/>
        </w:rPr>
        <w:t xml:space="preserve"> por causa de uma infecção bacteriana próxima (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reactiva). Por exemplo, uma ferida numa perna pode produzir inchaço dos linf</w:t>
      </w:r>
      <w:r w:rsidR="00706947" w:rsidRPr="001D3EF4">
        <w:rPr>
          <w:rFonts w:ascii="Arial" w:hAnsi="Arial" w:cs="Arial"/>
          <w:sz w:val="22"/>
          <w:szCs w:val="22"/>
        </w:rPr>
        <w:t>ó</w:t>
      </w:r>
      <w:r w:rsidRPr="001D3EF4">
        <w:rPr>
          <w:rFonts w:ascii="Arial" w:hAnsi="Arial" w:cs="Arial"/>
          <w:sz w:val="22"/>
          <w:szCs w:val="22"/>
        </w:rPr>
        <w:t>n</w:t>
      </w:r>
      <w:r w:rsidR="00706947" w:rsidRPr="001D3EF4">
        <w:rPr>
          <w:rFonts w:ascii="Arial" w:hAnsi="Arial" w:cs="Arial"/>
          <w:sz w:val="22"/>
          <w:szCs w:val="22"/>
        </w:rPr>
        <w:t>o</w:t>
      </w:r>
      <w:r w:rsidRPr="001D3EF4">
        <w:rPr>
          <w:rFonts w:ascii="Arial" w:hAnsi="Arial" w:cs="Arial"/>
          <w:sz w:val="22"/>
          <w:szCs w:val="22"/>
        </w:rPr>
        <w:t>dos da virilha correspondente. Algumas vezes a ferida, o</w:t>
      </w:r>
      <w:r w:rsidR="00706947" w:rsidRPr="001D3EF4">
        <w:rPr>
          <w:rFonts w:ascii="Arial" w:hAnsi="Arial" w:cs="Arial"/>
          <w:sz w:val="22"/>
          <w:szCs w:val="22"/>
        </w:rPr>
        <w:t>u o</w:t>
      </w:r>
      <w:r w:rsidRPr="001D3EF4">
        <w:rPr>
          <w:rFonts w:ascii="Arial" w:hAnsi="Arial" w:cs="Arial"/>
          <w:sz w:val="22"/>
          <w:szCs w:val="22"/>
        </w:rPr>
        <w:t xml:space="preserve"> ponto de entrada da infecção pode</w:t>
      </w:r>
      <w:r w:rsidR="00706947" w:rsidRPr="001D3EF4">
        <w:rPr>
          <w:rFonts w:ascii="Arial" w:hAnsi="Arial" w:cs="Arial"/>
          <w:sz w:val="22"/>
          <w:szCs w:val="22"/>
        </w:rPr>
        <w:t>m</w:t>
      </w:r>
      <w:r w:rsidRPr="001D3EF4">
        <w:rPr>
          <w:rFonts w:ascii="Arial" w:hAnsi="Arial" w:cs="Arial"/>
          <w:sz w:val="22"/>
          <w:szCs w:val="22"/>
        </w:rPr>
        <w:t xml:space="preserve"> não </w:t>
      </w:r>
      <w:r w:rsidR="00706947" w:rsidRPr="001D3EF4">
        <w:rPr>
          <w:rFonts w:ascii="Arial" w:hAnsi="Arial" w:cs="Arial"/>
          <w:sz w:val="22"/>
          <w:szCs w:val="22"/>
        </w:rPr>
        <w:t xml:space="preserve">estar </w:t>
      </w:r>
      <w:r w:rsidRPr="001D3EF4">
        <w:rPr>
          <w:rFonts w:ascii="Arial" w:hAnsi="Arial" w:cs="Arial"/>
          <w:sz w:val="22"/>
          <w:szCs w:val="22"/>
        </w:rPr>
        <w:t>visíve</w:t>
      </w:r>
      <w:r w:rsidR="00706947" w:rsidRPr="001D3EF4">
        <w:rPr>
          <w:rFonts w:ascii="Arial" w:hAnsi="Arial" w:cs="Arial"/>
          <w:sz w:val="22"/>
          <w:szCs w:val="22"/>
        </w:rPr>
        <w:t>is</w:t>
      </w:r>
      <w:r w:rsidRPr="001D3EF4">
        <w:rPr>
          <w:rFonts w:ascii="Arial" w:hAnsi="Arial" w:cs="Arial"/>
          <w:sz w:val="22"/>
          <w:szCs w:val="22"/>
        </w:rPr>
        <w:t xml:space="preserve">. </w:t>
      </w:r>
    </w:p>
    <w:p w:rsidR="00D510ED" w:rsidRPr="000557B3" w:rsidRDefault="00D510ED" w:rsidP="00CD2B71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0557B3">
        <w:rPr>
          <w:rFonts w:ascii="Book Antiqua" w:hAnsi="Book Antiqua" w:cs="Arial"/>
          <w:sz w:val="26"/>
          <w:szCs w:val="26"/>
        </w:rPr>
        <w:t xml:space="preserve">Diagnóstico Diferencial das </w:t>
      </w:r>
      <w:proofErr w:type="spellStart"/>
      <w:r w:rsidRPr="000557B3">
        <w:rPr>
          <w:rFonts w:ascii="Book Antiqua" w:hAnsi="Book Antiqua" w:cs="Arial"/>
          <w:sz w:val="26"/>
          <w:szCs w:val="26"/>
        </w:rPr>
        <w:t>Linfadenopatia</w:t>
      </w:r>
      <w:proofErr w:type="spellEnd"/>
    </w:p>
    <w:p w:rsidR="00D510ED" w:rsidRPr="001D3EF4" w:rsidRDefault="00B738D3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Quando </w:t>
      </w:r>
      <w:r w:rsidR="00D510ED" w:rsidRPr="001D3EF4">
        <w:rPr>
          <w:rFonts w:ascii="Arial" w:hAnsi="Arial" w:cs="Arial"/>
          <w:sz w:val="22"/>
          <w:szCs w:val="22"/>
        </w:rPr>
        <w:t xml:space="preserve">um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="00D510ED" w:rsidRPr="001D3EF4">
        <w:rPr>
          <w:rFonts w:ascii="Arial" w:hAnsi="Arial" w:cs="Arial"/>
          <w:sz w:val="22"/>
          <w:szCs w:val="22"/>
        </w:rPr>
        <w:t xml:space="preserve"> apresenta</w:t>
      </w:r>
      <w:r w:rsidRPr="001D3EF4">
        <w:rPr>
          <w:rFonts w:ascii="Arial" w:hAnsi="Arial" w:cs="Arial"/>
          <w:sz w:val="22"/>
          <w:szCs w:val="22"/>
        </w:rPr>
        <w:t>-se</w:t>
      </w:r>
      <w:r w:rsidR="00D510ED" w:rsidRPr="001D3EF4">
        <w:rPr>
          <w:rFonts w:ascii="Arial" w:hAnsi="Arial" w:cs="Arial"/>
          <w:sz w:val="22"/>
          <w:szCs w:val="22"/>
        </w:rPr>
        <w:t xml:space="preserve"> na consulta com queixa de inchaço </w:t>
      </w:r>
      <w:r w:rsidRPr="001D3EF4">
        <w:rPr>
          <w:rFonts w:ascii="Arial" w:hAnsi="Arial" w:cs="Arial"/>
          <w:sz w:val="22"/>
          <w:szCs w:val="22"/>
        </w:rPr>
        <w:t xml:space="preserve">numa </w:t>
      </w:r>
      <w:r w:rsidR="00D510ED" w:rsidRPr="001D3EF4">
        <w:rPr>
          <w:rFonts w:ascii="Arial" w:hAnsi="Arial" w:cs="Arial"/>
          <w:sz w:val="22"/>
          <w:szCs w:val="22"/>
        </w:rPr>
        <w:t>das</w:t>
      </w:r>
      <w:r w:rsidRPr="001D3EF4">
        <w:rPr>
          <w:rFonts w:ascii="Arial" w:hAnsi="Arial" w:cs="Arial"/>
          <w:sz w:val="22"/>
          <w:szCs w:val="22"/>
        </w:rPr>
        <w:t xml:space="preserve"> seguintes</w:t>
      </w:r>
      <w:r w:rsidR="00D510ED" w:rsidRPr="001D3EF4">
        <w:rPr>
          <w:rFonts w:ascii="Arial" w:hAnsi="Arial" w:cs="Arial"/>
          <w:sz w:val="22"/>
          <w:szCs w:val="22"/>
        </w:rPr>
        <w:t xml:space="preserve"> regiões ganglionares, o TMG deve avaliar o seguinte:</w:t>
      </w:r>
    </w:p>
    <w:p w:rsidR="00D510ED" w:rsidRPr="001D3EF4" w:rsidRDefault="00D510ED" w:rsidP="001D3EF4">
      <w:pPr>
        <w:pStyle w:val="ColorfulList-Accent11"/>
        <w:numPr>
          <w:ilvl w:val="0"/>
          <w:numId w:val="3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Sinais de perigo</w:t>
      </w:r>
      <w:r w:rsidRPr="001D3EF4">
        <w:rPr>
          <w:rFonts w:ascii="Arial" w:hAnsi="Arial" w:cs="Arial"/>
          <w:sz w:val="22"/>
          <w:szCs w:val="22"/>
        </w:rPr>
        <w:t>: Sempre que encontrar sinais de perigo (por exemplo, uma insuficiência respiratória)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clínico deve actuar conforme o guião de emergências. Na ausência de sinais de perigo, deve ser realizada uma avaliação completa. Os sinais de perigo</w:t>
      </w:r>
      <w:r w:rsidR="00706947" w:rsidRPr="001D3EF4">
        <w:rPr>
          <w:rFonts w:ascii="Arial" w:hAnsi="Arial" w:cs="Arial"/>
          <w:sz w:val="22"/>
          <w:szCs w:val="22"/>
        </w:rPr>
        <w:t xml:space="preserve"> a </w:t>
      </w:r>
      <w:r w:rsidR="00E20FC4" w:rsidRPr="001D3EF4">
        <w:rPr>
          <w:rFonts w:ascii="Arial" w:hAnsi="Arial" w:cs="Arial"/>
          <w:sz w:val="22"/>
          <w:szCs w:val="22"/>
        </w:rPr>
        <w:t>ter em conta</w:t>
      </w:r>
      <w:r w:rsidRPr="001D3EF4">
        <w:rPr>
          <w:rFonts w:ascii="Arial" w:hAnsi="Arial" w:cs="Arial"/>
          <w:sz w:val="22"/>
          <w:szCs w:val="22"/>
        </w:rPr>
        <w:t xml:space="preserve"> são:</w:t>
      </w:r>
      <w:r w:rsidRPr="001D3EF4">
        <w:rPr>
          <w:rFonts w:ascii="Arial" w:eastAsia="+mn-ea" w:hAnsi="Arial" w:cs="Arial"/>
          <w:color w:val="FF0000"/>
          <w:kern w:val="24"/>
          <w:sz w:val="22"/>
          <w:szCs w:val="22"/>
        </w:rPr>
        <w:t xml:space="preserve"> </w:t>
      </w:r>
    </w:p>
    <w:p w:rsidR="00D510ED" w:rsidRPr="001D3EF4" w:rsidRDefault="00D510ED" w:rsidP="001D3EF4">
      <w:pPr>
        <w:pStyle w:val="ColorfulList-Accent11"/>
        <w:numPr>
          <w:ilvl w:val="1"/>
          <w:numId w:val="5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>Nódulos tão grandes que interferem com a respiração ou com outra função</w:t>
      </w:r>
      <w:r w:rsidR="00B738D3" w:rsidRPr="001D3EF4">
        <w:rPr>
          <w:rFonts w:ascii="Arial" w:hAnsi="Arial" w:cs="Arial"/>
          <w:sz w:val="22"/>
          <w:szCs w:val="22"/>
        </w:rPr>
        <w:t>;</w:t>
      </w:r>
      <w:r w:rsidRPr="001D3EF4">
        <w:rPr>
          <w:rFonts w:ascii="Arial" w:hAnsi="Arial" w:cs="Arial"/>
          <w:sz w:val="22"/>
          <w:szCs w:val="22"/>
        </w:rPr>
        <w:t xml:space="preserve"> </w:t>
      </w:r>
    </w:p>
    <w:p w:rsidR="00D510ED" w:rsidRPr="001D3EF4" w:rsidRDefault="00D510ED" w:rsidP="001D3EF4">
      <w:pPr>
        <w:pStyle w:val="ColorfulList-Accent11"/>
        <w:numPr>
          <w:ilvl w:val="1"/>
          <w:numId w:val="5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Nódulos com </w:t>
      </w:r>
      <w:r w:rsidR="00D221A1" w:rsidRPr="001D3EF4">
        <w:rPr>
          <w:rFonts w:ascii="Arial" w:hAnsi="Arial" w:cs="Arial"/>
          <w:sz w:val="22"/>
          <w:szCs w:val="22"/>
        </w:rPr>
        <w:t xml:space="preserve">alto grau de </w:t>
      </w:r>
      <w:r w:rsidRPr="001D3EF4">
        <w:rPr>
          <w:rFonts w:ascii="Arial" w:hAnsi="Arial" w:cs="Arial"/>
          <w:sz w:val="22"/>
          <w:szCs w:val="22"/>
        </w:rPr>
        <w:t>necrose (que pode</w:t>
      </w:r>
      <w:r w:rsidR="00706947" w:rsidRPr="001D3EF4">
        <w:rPr>
          <w:rFonts w:ascii="Arial" w:hAnsi="Arial" w:cs="Arial"/>
          <w:sz w:val="22"/>
          <w:szCs w:val="22"/>
        </w:rPr>
        <w:t>m</w:t>
      </w:r>
      <w:r w:rsidRPr="001D3EF4">
        <w:rPr>
          <w:rFonts w:ascii="Arial" w:hAnsi="Arial" w:cs="Arial"/>
          <w:sz w:val="22"/>
          <w:szCs w:val="22"/>
        </w:rPr>
        <w:t xml:space="preserve"> precisar de intervenção cirúrgica de urgência)</w:t>
      </w:r>
      <w:r w:rsidR="00B738D3" w:rsidRPr="001D3EF4">
        <w:rPr>
          <w:rFonts w:ascii="Arial" w:hAnsi="Arial" w:cs="Arial"/>
          <w:sz w:val="22"/>
          <w:szCs w:val="22"/>
        </w:rPr>
        <w:t>;</w:t>
      </w:r>
    </w:p>
    <w:p w:rsidR="00D510ED" w:rsidRPr="001D3EF4" w:rsidRDefault="00D510ED" w:rsidP="001D3EF4">
      <w:pPr>
        <w:pStyle w:val="ColorfulList-Accent11"/>
        <w:numPr>
          <w:ilvl w:val="1"/>
          <w:numId w:val="5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Nódulos associados </w:t>
      </w:r>
      <w:r w:rsidR="00706947" w:rsidRPr="001D3EF4">
        <w:rPr>
          <w:rFonts w:ascii="Arial" w:hAnsi="Arial" w:cs="Arial"/>
          <w:sz w:val="22"/>
          <w:szCs w:val="22"/>
        </w:rPr>
        <w:t>ao</w:t>
      </w:r>
      <w:r w:rsidRPr="001D3EF4">
        <w:rPr>
          <w:rFonts w:ascii="Arial" w:hAnsi="Arial" w:cs="Arial"/>
          <w:sz w:val="22"/>
          <w:szCs w:val="22"/>
        </w:rPr>
        <w:t xml:space="preserve"> edema </w:t>
      </w:r>
      <w:r w:rsidR="00706947" w:rsidRPr="001D3EF4">
        <w:rPr>
          <w:rFonts w:ascii="Arial" w:hAnsi="Arial" w:cs="Arial"/>
          <w:sz w:val="22"/>
          <w:szCs w:val="22"/>
        </w:rPr>
        <w:t>relevante</w:t>
      </w:r>
      <w:r w:rsidRPr="001D3EF4">
        <w:rPr>
          <w:rFonts w:ascii="Arial" w:hAnsi="Arial" w:cs="Arial"/>
          <w:sz w:val="22"/>
          <w:szCs w:val="22"/>
        </w:rPr>
        <w:t xml:space="preserve"> dos membros ou com lesões de </w:t>
      </w:r>
      <w:r w:rsidR="00D221A1" w:rsidRPr="001D3EF4">
        <w:rPr>
          <w:rFonts w:ascii="Arial" w:hAnsi="Arial" w:cs="Arial"/>
          <w:sz w:val="22"/>
          <w:szCs w:val="22"/>
        </w:rPr>
        <w:t>s</w:t>
      </w:r>
      <w:r w:rsidRPr="001D3EF4">
        <w:rPr>
          <w:rFonts w:ascii="Arial" w:hAnsi="Arial" w:cs="Arial"/>
          <w:sz w:val="22"/>
          <w:szCs w:val="22"/>
        </w:rPr>
        <w:t>arcoma de Kaposi (pode</w:t>
      </w:r>
      <w:r w:rsidR="00024065" w:rsidRPr="001D3EF4">
        <w:rPr>
          <w:rFonts w:ascii="Arial" w:hAnsi="Arial" w:cs="Arial"/>
          <w:sz w:val="22"/>
          <w:szCs w:val="22"/>
        </w:rPr>
        <w:t>m</w:t>
      </w:r>
      <w:r w:rsidRPr="001D3EF4">
        <w:rPr>
          <w:rFonts w:ascii="Arial" w:hAnsi="Arial" w:cs="Arial"/>
          <w:sz w:val="22"/>
          <w:szCs w:val="22"/>
        </w:rPr>
        <w:t xml:space="preserve"> precisar de quimioterapia e/ou intervenção cirúrgica)</w:t>
      </w:r>
      <w:r w:rsidR="00B738D3" w:rsidRPr="001D3EF4">
        <w:rPr>
          <w:rFonts w:ascii="Arial" w:hAnsi="Arial" w:cs="Arial"/>
          <w:sz w:val="22"/>
          <w:szCs w:val="22"/>
        </w:rPr>
        <w:t>;</w:t>
      </w:r>
    </w:p>
    <w:p w:rsidR="00733295" w:rsidRPr="001D3EF4" w:rsidRDefault="00D510ED" w:rsidP="001D3EF4">
      <w:pPr>
        <w:pStyle w:val="ColorfulList-Accent11"/>
        <w:numPr>
          <w:ilvl w:val="1"/>
          <w:numId w:val="5"/>
        </w:numPr>
        <w:spacing w:before="120" w:after="20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que piora rapidamente depois de iniciar o </w:t>
      </w:r>
      <w:proofErr w:type="spellStart"/>
      <w:r w:rsidRPr="001D3EF4">
        <w:rPr>
          <w:rFonts w:ascii="Arial" w:hAnsi="Arial" w:cs="Arial"/>
          <w:sz w:val="22"/>
          <w:szCs w:val="22"/>
        </w:rPr>
        <w:t>TARV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(sugere SIR)</w:t>
      </w:r>
      <w:r w:rsidR="00B738D3" w:rsidRPr="001D3EF4">
        <w:rPr>
          <w:rFonts w:ascii="Arial" w:hAnsi="Arial" w:cs="Arial"/>
          <w:sz w:val="22"/>
          <w:szCs w:val="22"/>
        </w:rPr>
        <w:t>.</w:t>
      </w:r>
    </w:p>
    <w:p w:rsidR="00D510ED" w:rsidRPr="001D3EF4" w:rsidRDefault="00D510ED" w:rsidP="001D3EF4">
      <w:pPr>
        <w:pStyle w:val="ColorfulList-Accent11"/>
        <w:numPr>
          <w:ilvl w:val="0"/>
          <w:numId w:val="3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Localização e distribuição:</w:t>
      </w:r>
      <w:r w:rsidRPr="001D3EF4">
        <w:rPr>
          <w:rFonts w:ascii="Arial" w:hAnsi="Arial" w:cs="Arial"/>
          <w:sz w:val="22"/>
          <w:szCs w:val="22"/>
        </w:rPr>
        <w:t xml:space="preserve"> Podemos diferenciar os casos com uma única região afectada (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localizada) </w:t>
      </w:r>
      <w:r w:rsidR="008D119A" w:rsidRPr="001D3EF4">
        <w:rPr>
          <w:rFonts w:ascii="Arial" w:hAnsi="Arial" w:cs="Arial"/>
          <w:sz w:val="22"/>
          <w:szCs w:val="22"/>
        </w:rPr>
        <w:t xml:space="preserve">perante </w:t>
      </w:r>
      <w:r w:rsidRPr="001D3EF4">
        <w:rPr>
          <w:rFonts w:ascii="Arial" w:hAnsi="Arial" w:cs="Arial"/>
          <w:sz w:val="22"/>
          <w:szCs w:val="22"/>
        </w:rPr>
        <w:t xml:space="preserve">os casos de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generalizada. </w:t>
      </w:r>
    </w:p>
    <w:p w:rsidR="00D510ED" w:rsidRPr="001D3EF4" w:rsidRDefault="00D510ED" w:rsidP="001D3EF4">
      <w:pPr>
        <w:pStyle w:val="ColorfulList-Accent11"/>
        <w:jc w:val="both"/>
        <w:rPr>
          <w:rFonts w:ascii="Arial" w:hAnsi="Arial" w:cs="Arial"/>
          <w:sz w:val="22"/>
          <w:szCs w:val="22"/>
        </w:rPr>
      </w:pPr>
    </w:p>
    <w:p w:rsidR="00D510ED" w:rsidRPr="001D3EF4" w:rsidRDefault="00D510ED" w:rsidP="001D3EF4">
      <w:pPr>
        <w:rPr>
          <w:rFonts w:ascii="Arial" w:hAnsi="Arial" w:cs="Arial"/>
          <w:b/>
          <w:sz w:val="22"/>
          <w:szCs w:val="22"/>
        </w:rPr>
      </w:pP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localizada ou</w:t>
      </w:r>
      <w:r w:rsidR="004924B8" w:rsidRPr="001D3EF4">
        <w:rPr>
          <w:rFonts w:ascii="Arial" w:hAnsi="Arial" w:cs="Arial"/>
          <w:b/>
          <w:sz w:val="22"/>
          <w:szCs w:val="22"/>
        </w:rPr>
        <w:t xml:space="preserve"> que afecta a</w:t>
      </w:r>
      <w:r w:rsidRPr="001D3EF4">
        <w:rPr>
          <w:rFonts w:ascii="Arial" w:hAnsi="Arial" w:cs="Arial"/>
          <w:b/>
          <w:sz w:val="22"/>
          <w:szCs w:val="22"/>
        </w:rPr>
        <w:t xml:space="preserve"> </w:t>
      </w:r>
      <w:r w:rsidR="00D221A1" w:rsidRPr="001D3EF4">
        <w:rPr>
          <w:rFonts w:ascii="Arial" w:hAnsi="Arial" w:cs="Arial"/>
          <w:b/>
          <w:sz w:val="22"/>
          <w:szCs w:val="22"/>
        </w:rPr>
        <w:t>um</w:t>
      </w:r>
      <w:r w:rsidRPr="001D3EF4">
        <w:rPr>
          <w:rFonts w:ascii="Arial" w:hAnsi="Arial" w:cs="Arial"/>
          <w:b/>
          <w:sz w:val="22"/>
          <w:szCs w:val="22"/>
        </w:rPr>
        <w:t xml:space="preserve"> só grupo de nódulos ou de evolução rápida:  </w:t>
      </w:r>
    </w:p>
    <w:p w:rsidR="00D510ED" w:rsidRPr="001D3EF4" w:rsidRDefault="00D510ED" w:rsidP="001D3EF4">
      <w:pPr>
        <w:pStyle w:val="ColorfulList-Accent11"/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>Infecção bacteriana:</w:t>
      </w:r>
      <w:r w:rsidRPr="001D3EF4">
        <w:rPr>
          <w:rFonts w:ascii="Arial" w:hAnsi="Arial" w:cs="Arial"/>
          <w:i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No caso de </w:t>
      </w: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localizada</w:t>
      </w:r>
      <w:r w:rsidR="00D221A1" w:rsidRPr="001D3EF4">
        <w:rPr>
          <w:rFonts w:ascii="Arial" w:hAnsi="Arial" w:cs="Arial"/>
          <w:b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clínico deve pensar num problema local, geralmente uma infecção bacteriana (por exemplo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amigdalite com linfadenite reactiva dos nódulos cervicais, ou ferida na mão ou pé com adenopatia na axila ou virilha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3EF4">
        <w:rPr>
          <w:rFonts w:ascii="Arial" w:hAnsi="Arial" w:cs="Arial"/>
          <w:sz w:val="22"/>
          <w:szCs w:val="22"/>
        </w:rPr>
        <w:t>respectivamente</w:t>
      </w:r>
      <w:proofErr w:type="spellEnd"/>
      <w:r w:rsidRPr="001D3EF4">
        <w:rPr>
          <w:rFonts w:ascii="Arial" w:hAnsi="Arial" w:cs="Arial"/>
          <w:sz w:val="22"/>
          <w:szCs w:val="22"/>
        </w:rPr>
        <w:t>). Nestes casos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a evolução do quadro clínico é aguda, apenas uns dias, e o doente manifesta febre e sintomas locais como dor e calor. Estas adenopatias podem chegar a formar um abcesso </w:t>
      </w:r>
      <w:r w:rsidR="008D119A" w:rsidRPr="001D3EF4">
        <w:rPr>
          <w:rFonts w:ascii="Arial" w:hAnsi="Arial" w:cs="Arial"/>
          <w:sz w:val="22"/>
          <w:szCs w:val="22"/>
        </w:rPr>
        <w:t>que</w:t>
      </w:r>
      <w:r w:rsidRPr="001D3EF4">
        <w:rPr>
          <w:rFonts w:ascii="Arial" w:hAnsi="Arial" w:cs="Arial"/>
          <w:sz w:val="22"/>
          <w:szCs w:val="22"/>
        </w:rPr>
        <w:t xml:space="preserve"> requer drenagem. O tratamento nestes casos é </w:t>
      </w:r>
      <w:r w:rsidR="000557B3" w:rsidRPr="001D3EF4">
        <w:rPr>
          <w:rFonts w:ascii="Arial" w:hAnsi="Arial" w:cs="Arial"/>
          <w:sz w:val="22"/>
          <w:szCs w:val="22"/>
        </w:rPr>
        <w:t xml:space="preserve">com </w:t>
      </w:r>
      <w:r w:rsidRPr="001D3EF4">
        <w:rPr>
          <w:rFonts w:ascii="Arial" w:hAnsi="Arial" w:cs="Arial"/>
          <w:sz w:val="22"/>
          <w:szCs w:val="22"/>
        </w:rPr>
        <w:t>antibiótico oral (</w:t>
      </w:r>
      <w:proofErr w:type="spellStart"/>
      <w:r w:rsidRPr="001D3EF4">
        <w:rPr>
          <w:rFonts w:ascii="Arial" w:hAnsi="Arial" w:cs="Arial"/>
          <w:sz w:val="22"/>
          <w:szCs w:val="22"/>
        </w:rPr>
        <w:t>amoxicilina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3EF4">
        <w:rPr>
          <w:rFonts w:ascii="Arial" w:hAnsi="Arial" w:cs="Arial"/>
          <w:sz w:val="22"/>
          <w:szCs w:val="22"/>
        </w:rPr>
        <w:t>flucoxacilina</w:t>
      </w:r>
      <w:proofErr w:type="spellEnd"/>
      <w:r w:rsidRPr="001D3EF4">
        <w:rPr>
          <w:rFonts w:ascii="Arial" w:hAnsi="Arial" w:cs="Arial"/>
          <w:sz w:val="22"/>
          <w:szCs w:val="22"/>
        </w:rPr>
        <w:t>).</w:t>
      </w:r>
    </w:p>
    <w:p w:rsidR="00D510ED" w:rsidRPr="001D3EF4" w:rsidRDefault="00D510ED" w:rsidP="002B4E12">
      <w:pPr>
        <w:pStyle w:val="ColorfulList-Accent11"/>
        <w:spacing w:before="120"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que afecta muitos grupos ganglionares ou de evolução crónica</w:t>
      </w:r>
      <w:r w:rsidRPr="001D3EF4">
        <w:rPr>
          <w:rFonts w:ascii="Book Antiqua" w:hAnsi="Book Antiqua" w:cs="Arial"/>
          <w:b/>
          <w:i/>
          <w:color w:val="548DD4"/>
          <w:sz w:val="22"/>
          <w:szCs w:val="22"/>
        </w:rPr>
        <w:t>: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0557B3" w:rsidRPr="001D3EF4">
        <w:rPr>
          <w:rFonts w:ascii="Arial" w:hAnsi="Arial" w:cs="Arial"/>
          <w:sz w:val="22"/>
          <w:szCs w:val="22"/>
        </w:rPr>
        <w:t>Caso o exame físico revele</w:t>
      </w:r>
      <w:r w:rsidR="008D119A" w:rsidRPr="001D3EF4">
        <w:rPr>
          <w:rFonts w:ascii="Arial" w:hAnsi="Arial" w:cs="Arial"/>
          <w:sz w:val="22"/>
          <w:szCs w:val="22"/>
        </w:rPr>
        <w:t xml:space="preserve"> a presença de a</w:t>
      </w:r>
      <w:r w:rsidRPr="001D3EF4">
        <w:rPr>
          <w:rFonts w:ascii="Arial" w:hAnsi="Arial" w:cs="Arial"/>
          <w:sz w:val="22"/>
          <w:szCs w:val="22"/>
        </w:rPr>
        <w:t>denopatias em várias localizações (</w:t>
      </w: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generalizada</w:t>
      </w:r>
      <w:r w:rsidRPr="001D3EF4">
        <w:rPr>
          <w:rFonts w:ascii="Arial" w:hAnsi="Arial" w:cs="Arial"/>
          <w:sz w:val="22"/>
          <w:szCs w:val="22"/>
        </w:rPr>
        <w:t xml:space="preserve">), sem características </w:t>
      </w:r>
      <w:proofErr w:type="spellStart"/>
      <w:r w:rsidRPr="001D3EF4">
        <w:rPr>
          <w:rFonts w:ascii="Arial" w:hAnsi="Arial" w:cs="Arial"/>
          <w:sz w:val="22"/>
          <w:szCs w:val="22"/>
        </w:rPr>
        <w:t>infecciosas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(sem dor ou aumento da temperatura local) ou ainda quando estas são muito duras ou t</w:t>
      </w:r>
      <w:r w:rsidR="00024065" w:rsidRPr="001D3EF4">
        <w:rPr>
          <w:rFonts w:ascii="Arial" w:hAnsi="Arial" w:cs="Arial"/>
          <w:sz w:val="22"/>
          <w:szCs w:val="22"/>
        </w:rPr>
        <w:t>ê</w:t>
      </w:r>
      <w:r w:rsidRPr="001D3EF4">
        <w:rPr>
          <w:rFonts w:ascii="Arial" w:hAnsi="Arial" w:cs="Arial"/>
          <w:sz w:val="22"/>
          <w:szCs w:val="22"/>
        </w:rPr>
        <w:t xml:space="preserve">m muito tempo de evolução (geralmente semanas </w:t>
      </w:r>
      <w:r w:rsidR="00024065" w:rsidRPr="001D3EF4">
        <w:rPr>
          <w:rFonts w:ascii="Arial" w:hAnsi="Arial" w:cs="Arial"/>
          <w:sz w:val="22"/>
          <w:szCs w:val="22"/>
        </w:rPr>
        <w:t>ou</w:t>
      </w:r>
      <w:r w:rsidRPr="001D3EF4">
        <w:rPr>
          <w:rFonts w:ascii="Arial" w:hAnsi="Arial" w:cs="Arial"/>
          <w:sz w:val="22"/>
          <w:szCs w:val="22"/>
        </w:rPr>
        <w:t xml:space="preserve"> meses), o TMG deve pensar em outras possibilidades</w:t>
      </w:r>
      <w:r w:rsidR="008D119A" w:rsidRPr="001D3EF4">
        <w:rPr>
          <w:rFonts w:ascii="Arial" w:hAnsi="Arial" w:cs="Arial"/>
          <w:sz w:val="22"/>
          <w:szCs w:val="22"/>
        </w:rPr>
        <w:t>, nomeadamente</w:t>
      </w:r>
      <w:r w:rsidRPr="001D3EF4">
        <w:rPr>
          <w:rFonts w:ascii="Arial" w:hAnsi="Arial" w:cs="Arial"/>
          <w:sz w:val="22"/>
          <w:szCs w:val="22"/>
        </w:rPr>
        <w:t>:</w:t>
      </w:r>
    </w:p>
    <w:p w:rsidR="00D510ED" w:rsidRPr="001D3EF4" w:rsidRDefault="00D510ED" w:rsidP="002B4E12">
      <w:pPr>
        <w:pStyle w:val="ColorfulList-Accent11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D3EF4">
        <w:rPr>
          <w:rFonts w:ascii="Arial" w:hAnsi="Arial" w:cs="Arial"/>
          <w:b/>
          <w:sz w:val="22"/>
          <w:szCs w:val="22"/>
        </w:rPr>
        <w:t>TB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ganglionar: </w:t>
      </w:r>
      <w:r w:rsidRPr="001D3EF4">
        <w:rPr>
          <w:rFonts w:ascii="Arial" w:hAnsi="Arial" w:cs="Arial"/>
          <w:sz w:val="22"/>
          <w:szCs w:val="22"/>
        </w:rPr>
        <w:t xml:space="preserve">A tuberculose pode afectar os nódulos linfáticos. Neste caso, a evolução é mais lenta, e normalmente não há dor. Os nódulos podem ser muito grandes com supuração e formação de fístulas. As mais comuns são as adenopatias cervicais, mas outros nódulos podem também ser afectados. A metade dos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s terá outros sintomas de </w:t>
      </w:r>
      <w:proofErr w:type="spellStart"/>
      <w:r w:rsidRPr="001D3EF4">
        <w:rPr>
          <w:rFonts w:ascii="Arial" w:hAnsi="Arial" w:cs="Arial"/>
          <w:sz w:val="22"/>
          <w:szCs w:val="22"/>
        </w:rPr>
        <w:t>TB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(febre, suores </w:t>
      </w:r>
      <w:proofErr w:type="spellStart"/>
      <w:r w:rsidRPr="001D3EF4">
        <w:rPr>
          <w:rFonts w:ascii="Arial" w:hAnsi="Arial" w:cs="Arial"/>
          <w:sz w:val="22"/>
          <w:szCs w:val="22"/>
        </w:rPr>
        <w:t>nocturnos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, perda de peso). </w:t>
      </w:r>
    </w:p>
    <w:p w:rsidR="00D510ED" w:rsidRDefault="00CD6225" w:rsidP="00CD2B71">
      <w:pPr>
        <w:pStyle w:val="ColorfulList-Accent11"/>
        <w:spacing w:line="276" w:lineRule="auto"/>
        <w:jc w:val="both"/>
        <w:rPr>
          <w:noProof/>
          <w:lang w:eastAsia="es-ES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2212340" cy="1930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F57">
        <w:rPr>
          <w:noProof/>
          <w:lang w:eastAsia="es-ES"/>
        </w:rPr>
        <w:t xml:space="preserve">      </w:t>
      </w:r>
      <w:r w:rsidR="002B4E12">
        <w:rPr>
          <w:noProof/>
          <w:lang w:eastAsia="es-ES"/>
        </w:rPr>
        <w:t xml:space="preserve">                         </w:t>
      </w:r>
      <w:r w:rsidR="00C52F57">
        <w:rPr>
          <w:noProof/>
          <w:lang w:eastAsia="es-ES"/>
        </w:rPr>
        <w:t xml:space="preserve">     </w:t>
      </w: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2099945" cy="19532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F6" w:rsidRPr="004D7CF6" w:rsidRDefault="004D7CF6" w:rsidP="004D7CF6">
      <w:pPr>
        <w:pStyle w:val="ColorfulList-Accent11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D7CF6">
        <w:rPr>
          <w:rFonts w:ascii="Arial" w:hAnsi="Arial" w:cs="Arial"/>
          <w:b/>
          <w:noProof/>
          <w:sz w:val="20"/>
          <w:szCs w:val="20"/>
          <w:lang w:eastAsia="es-ES"/>
        </w:rPr>
        <w:t>Figura 1:</w:t>
      </w:r>
      <w:r w:rsidRPr="004D7C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D7CF6">
        <w:rPr>
          <w:rFonts w:ascii="Arial" w:hAnsi="Arial" w:cs="Arial"/>
          <w:sz w:val="20"/>
          <w:szCs w:val="20"/>
        </w:rPr>
        <w:t>TB</w:t>
      </w:r>
      <w:proofErr w:type="spellEnd"/>
      <w:r w:rsidRPr="004D7CF6">
        <w:rPr>
          <w:rFonts w:ascii="Arial" w:hAnsi="Arial" w:cs="Arial"/>
          <w:sz w:val="20"/>
          <w:szCs w:val="20"/>
        </w:rPr>
        <w:t xml:space="preserve"> ganglionar</w:t>
      </w:r>
    </w:p>
    <w:p w:rsidR="00D510ED" w:rsidRPr="000113D0" w:rsidRDefault="00D510ED" w:rsidP="002B4E12">
      <w:pPr>
        <w:pStyle w:val="ColorfulList-Accent11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113D0">
        <w:rPr>
          <w:rFonts w:ascii="Arial" w:hAnsi="Arial" w:cs="Arial"/>
          <w:bCs/>
          <w:i/>
          <w:iCs/>
          <w:sz w:val="20"/>
          <w:szCs w:val="20"/>
        </w:rPr>
        <w:t xml:space="preserve">Fonte: </w:t>
      </w:r>
      <w:r w:rsidRPr="000113D0">
        <w:rPr>
          <w:rFonts w:ascii="Arial" w:hAnsi="Arial" w:cs="Arial"/>
          <w:sz w:val="20"/>
          <w:szCs w:val="20"/>
        </w:rPr>
        <w:t>www.monografias.com/trabajos39/tuberculosis-ganglionar/I</w:t>
      </w:r>
    </w:p>
    <w:p w:rsidR="00D510ED" w:rsidRDefault="00D510ED" w:rsidP="001D3EF4">
      <w:pPr>
        <w:pStyle w:val="ColorfulList-Accent1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lastRenderedPageBreak/>
        <w:t>Sífilis:</w:t>
      </w:r>
      <w:r w:rsidRPr="001D3EF4">
        <w:rPr>
          <w:rFonts w:ascii="Arial" w:hAnsi="Arial" w:cs="Arial"/>
          <w:sz w:val="22"/>
          <w:szCs w:val="22"/>
        </w:rPr>
        <w:t xml:space="preserve"> A sífilis é uma </w:t>
      </w:r>
      <w:proofErr w:type="spellStart"/>
      <w:r w:rsidR="008D119A" w:rsidRPr="001D3EF4">
        <w:rPr>
          <w:rFonts w:ascii="Arial" w:hAnsi="Arial" w:cs="Arial"/>
          <w:sz w:val="22"/>
          <w:szCs w:val="22"/>
        </w:rPr>
        <w:t>ITS</w:t>
      </w:r>
      <w:proofErr w:type="spellEnd"/>
      <w:r w:rsidR="008D119A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muito frequente em Moçambique. Ainda que não seja a manifestação mais habitual, na sua fase secundária (após o desaparecimento da úlcera sifilítica ou cancro mole) pode se manifestar por um quadro de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generalizada. O clínico deve examinar a pele do doente </w:t>
      </w:r>
      <w:r w:rsidR="00D221A1" w:rsidRPr="001D3EF4">
        <w:rPr>
          <w:rFonts w:ascii="Arial" w:hAnsi="Arial" w:cs="Arial"/>
          <w:sz w:val="22"/>
          <w:szCs w:val="22"/>
        </w:rPr>
        <w:t>à</w:t>
      </w:r>
      <w:r w:rsidR="00A21E90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>procura de outros sinais de sífilis (por exemplo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exantema nas palmas ou plantas) e perguntar ao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 se há antecedentes de úlcera genital. O teste da sífilis (</w:t>
      </w:r>
      <w:proofErr w:type="spellStart"/>
      <w:r w:rsidRPr="001D3EF4">
        <w:rPr>
          <w:rFonts w:ascii="Arial" w:hAnsi="Arial" w:cs="Arial"/>
          <w:sz w:val="22"/>
          <w:szCs w:val="22"/>
        </w:rPr>
        <w:t>RPR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ou outros) deve ser solicitado e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se for positivo, 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 deve ser tratado segundo o protocolo habitual.</w:t>
      </w:r>
    </w:p>
    <w:p w:rsidR="002B4E12" w:rsidRPr="001D3EF4" w:rsidRDefault="002B4E12" w:rsidP="002B4E12">
      <w:pPr>
        <w:pStyle w:val="ColorfulList-Accent11"/>
        <w:jc w:val="both"/>
        <w:rPr>
          <w:rFonts w:ascii="Arial" w:hAnsi="Arial" w:cs="Arial"/>
          <w:sz w:val="22"/>
          <w:szCs w:val="22"/>
        </w:rPr>
      </w:pPr>
    </w:p>
    <w:p w:rsidR="00D510ED" w:rsidRPr="000113D0" w:rsidRDefault="00CD6225" w:rsidP="002B4E12">
      <w:pPr>
        <w:spacing w:line="276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2378106" cy="2152650"/>
            <wp:effectExtent l="19050" t="0" r="3144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16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E12">
        <w:rPr>
          <w:rFonts w:ascii="Arial" w:hAnsi="Arial" w:cs="Arial"/>
          <w:noProof/>
          <w:lang w:eastAsia="pt-PT"/>
        </w:rPr>
        <w:t xml:space="preserve">      </w:t>
      </w:r>
      <w:r w:rsidR="00DE30B3">
        <w:rPr>
          <w:rFonts w:ascii="Arial" w:hAnsi="Arial" w:cs="Arial"/>
          <w:noProof/>
          <w:lang w:eastAsia="pt-PT"/>
        </w:rPr>
        <w:drawing>
          <wp:inline distT="0" distB="0" distL="0" distR="0">
            <wp:extent cx="3114675" cy="2143125"/>
            <wp:effectExtent l="19050" t="0" r="9525" b="0"/>
            <wp:docPr id="6" name="Picture 5" descr="SIFM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MAN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12" cy="214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CF6" w:rsidRPr="004D7CF6" w:rsidRDefault="004D7CF6" w:rsidP="002B4E12">
      <w:pPr>
        <w:pStyle w:val="ColorfulList-Accent11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D7CF6">
        <w:rPr>
          <w:rFonts w:ascii="Arial" w:hAnsi="Arial" w:cs="Arial"/>
          <w:b/>
          <w:sz w:val="20"/>
          <w:szCs w:val="20"/>
        </w:rPr>
        <w:t xml:space="preserve">Figura 2: </w:t>
      </w:r>
      <w:r w:rsidRPr="004D7CF6">
        <w:rPr>
          <w:rFonts w:ascii="Arial" w:hAnsi="Arial" w:cs="Arial"/>
          <w:sz w:val="20"/>
          <w:szCs w:val="20"/>
        </w:rPr>
        <w:t>Sífilis</w:t>
      </w:r>
    </w:p>
    <w:p w:rsidR="00D510ED" w:rsidRPr="002B4E12" w:rsidRDefault="00D510ED" w:rsidP="002B4E12">
      <w:pPr>
        <w:pStyle w:val="ColorfulList-Accent11"/>
        <w:spacing w:before="120"/>
        <w:jc w:val="center"/>
        <w:rPr>
          <w:rFonts w:ascii="Arial" w:hAnsi="Arial" w:cs="Arial"/>
          <w:sz w:val="18"/>
          <w:szCs w:val="18"/>
        </w:rPr>
      </w:pPr>
      <w:r w:rsidRPr="002B4E12">
        <w:rPr>
          <w:rFonts w:ascii="Arial" w:hAnsi="Arial" w:cs="Arial"/>
          <w:sz w:val="18"/>
          <w:szCs w:val="18"/>
        </w:rPr>
        <w:t xml:space="preserve">Fonte: </w:t>
      </w:r>
      <w:hyperlink r:id="rId12" w:history="1">
        <w:r w:rsidR="00AF61E6" w:rsidRPr="002B4E12">
          <w:rPr>
            <w:rStyle w:val="Hyperlink"/>
            <w:rFonts w:ascii="Arial" w:hAnsi="Arial" w:cs="Arial"/>
            <w:sz w:val="18"/>
            <w:szCs w:val="18"/>
          </w:rPr>
          <w:t>www.lookfordiagnosis.com/mesh_info.php?term=Sífilis&amp;lang=2</w:t>
        </w:r>
      </w:hyperlink>
    </w:p>
    <w:p w:rsidR="00AF61E6" w:rsidRPr="001D3EF4" w:rsidRDefault="00AF61E6" w:rsidP="001D3EF4">
      <w:pPr>
        <w:pStyle w:val="ColorfulList-Accent11"/>
        <w:jc w:val="both"/>
        <w:rPr>
          <w:rFonts w:ascii="Arial" w:hAnsi="Arial" w:cs="Arial"/>
          <w:sz w:val="22"/>
          <w:szCs w:val="22"/>
        </w:rPr>
      </w:pPr>
    </w:p>
    <w:p w:rsidR="00D510ED" w:rsidRPr="001D3EF4" w:rsidRDefault="00D510ED" w:rsidP="001D3EF4">
      <w:pPr>
        <w:pStyle w:val="ColorfulList-Accent1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generalizada persistente (</w:t>
      </w:r>
      <w:proofErr w:type="spellStart"/>
      <w:r w:rsidRPr="001D3EF4">
        <w:rPr>
          <w:rFonts w:ascii="Arial" w:hAnsi="Arial" w:cs="Arial"/>
          <w:b/>
          <w:sz w:val="22"/>
          <w:szCs w:val="22"/>
        </w:rPr>
        <w:t>LGP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>)</w:t>
      </w:r>
      <w:proofErr w:type="gramStart"/>
      <w:r w:rsidRPr="001D3EF4">
        <w:rPr>
          <w:rFonts w:ascii="Arial" w:hAnsi="Arial" w:cs="Arial"/>
          <w:b/>
          <w:sz w:val="22"/>
          <w:szCs w:val="22"/>
        </w:rPr>
        <w:t xml:space="preserve">: </w:t>
      </w:r>
      <w:r w:rsidR="004924B8" w:rsidRPr="001D3EF4">
        <w:rPr>
          <w:rFonts w:ascii="Arial" w:hAnsi="Arial" w:cs="Arial"/>
          <w:sz w:val="22"/>
          <w:szCs w:val="22"/>
        </w:rPr>
        <w:t xml:space="preserve"> E</w:t>
      </w:r>
      <w:r w:rsidR="00704E3C" w:rsidRPr="001D3EF4">
        <w:rPr>
          <w:rFonts w:ascii="Arial" w:hAnsi="Arial" w:cs="Arial"/>
          <w:sz w:val="22"/>
          <w:szCs w:val="22"/>
        </w:rPr>
        <w:t>sta</w:t>
      </w:r>
      <w:proofErr w:type="gramEnd"/>
      <w:r w:rsidR="00024065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é uma manifestação directamente relacionada com a própria infecção pelo </w:t>
      </w:r>
      <w:proofErr w:type="spellStart"/>
      <w:r w:rsidRPr="001D3EF4">
        <w:rPr>
          <w:rFonts w:ascii="Arial" w:hAnsi="Arial" w:cs="Arial"/>
          <w:sz w:val="22"/>
          <w:szCs w:val="22"/>
        </w:rPr>
        <w:t>HIV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1D3EF4">
        <w:rPr>
          <w:rFonts w:ascii="Arial" w:hAnsi="Arial" w:cs="Arial"/>
          <w:sz w:val="22"/>
          <w:szCs w:val="22"/>
        </w:rPr>
        <w:t>LGP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é uma condição definitória de estadio I da OMS e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024065" w:rsidRPr="001D3EF4">
        <w:rPr>
          <w:rFonts w:ascii="Arial" w:hAnsi="Arial" w:cs="Arial"/>
          <w:sz w:val="22"/>
          <w:szCs w:val="22"/>
        </w:rPr>
        <w:t>portanto</w:t>
      </w:r>
      <w:r w:rsidRPr="001D3EF4">
        <w:rPr>
          <w:rFonts w:ascii="Arial" w:hAnsi="Arial" w:cs="Arial"/>
          <w:sz w:val="22"/>
          <w:szCs w:val="22"/>
        </w:rPr>
        <w:t xml:space="preserve"> aparece em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>s que normalmente ain</w:t>
      </w:r>
      <w:r w:rsidR="003A4CA5" w:rsidRPr="001D3EF4">
        <w:rPr>
          <w:rFonts w:ascii="Arial" w:hAnsi="Arial" w:cs="Arial"/>
          <w:sz w:val="22"/>
          <w:szCs w:val="22"/>
        </w:rPr>
        <w:t xml:space="preserve">da têm contagens de </w:t>
      </w:r>
      <w:proofErr w:type="spellStart"/>
      <w:r w:rsidR="003A4CA5" w:rsidRPr="001D3EF4">
        <w:rPr>
          <w:rFonts w:ascii="Arial" w:hAnsi="Arial" w:cs="Arial"/>
          <w:sz w:val="22"/>
          <w:szCs w:val="22"/>
        </w:rPr>
        <w:t>CD4</w:t>
      </w:r>
      <w:proofErr w:type="spellEnd"/>
      <w:r w:rsidR="003A4CA5" w:rsidRPr="001D3EF4">
        <w:rPr>
          <w:rFonts w:ascii="Arial" w:hAnsi="Arial" w:cs="Arial"/>
          <w:sz w:val="22"/>
          <w:szCs w:val="22"/>
        </w:rPr>
        <w:t xml:space="preserve"> elevadas</w:t>
      </w:r>
      <w:r w:rsidRPr="001D3EF4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1D3EF4">
        <w:rPr>
          <w:rFonts w:ascii="Arial" w:hAnsi="Arial" w:cs="Arial"/>
          <w:sz w:val="22"/>
          <w:szCs w:val="22"/>
        </w:rPr>
        <w:t>LGP</w:t>
      </w:r>
      <w:proofErr w:type="spellEnd"/>
      <w:r w:rsidR="00024065" w:rsidRPr="001D3EF4">
        <w:rPr>
          <w:rFonts w:ascii="Arial" w:hAnsi="Arial" w:cs="Arial"/>
          <w:sz w:val="22"/>
          <w:szCs w:val="22"/>
        </w:rPr>
        <w:t xml:space="preserve"> </w:t>
      </w:r>
      <w:r w:rsidR="00D475C9" w:rsidRPr="001D3EF4">
        <w:rPr>
          <w:rFonts w:ascii="Arial" w:hAnsi="Arial" w:cs="Arial"/>
          <w:sz w:val="22"/>
          <w:szCs w:val="22"/>
        </w:rPr>
        <w:t>define</w:t>
      </w:r>
      <w:r w:rsidR="003A4CA5" w:rsidRPr="001D3EF4">
        <w:rPr>
          <w:rFonts w:ascii="Arial" w:hAnsi="Arial" w:cs="Arial"/>
          <w:sz w:val="22"/>
          <w:szCs w:val="22"/>
        </w:rPr>
        <w:t>-</w:t>
      </w:r>
      <w:r w:rsidRPr="001D3EF4">
        <w:rPr>
          <w:rFonts w:ascii="Arial" w:hAnsi="Arial" w:cs="Arial"/>
          <w:sz w:val="22"/>
          <w:szCs w:val="22"/>
        </w:rPr>
        <w:t>se como:</w:t>
      </w:r>
    </w:p>
    <w:p w:rsidR="00D510ED" w:rsidRPr="001D3EF4" w:rsidRDefault="00D510ED" w:rsidP="001D3EF4">
      <w:pPr>
        <w:pStyle w:val="ColorfulList-Accent11"/>
        <w:rPr>
          <w:rFonts w:ascii="Arial" w:hAnsi="Arial" w:cs="Arial"/>
          <w:sz w:val="22"/>
          <w:szCs w:val="22"/>
        </w:rPr>
      </w:pPr>
    </w:p>
    <w:p w:rsidR="00D510ED" w:rsidRPr="001D3EF4" w:rsidRDefault="00D510ED" w:rsidP="001D3EF4">
      <w:pPr>
        <w:pStyle w:val="ColorfulList-Accent11"/>
        <w:ind w:left="1620"/>
        <w:jc w:val="both"/>
        <w:rPr>
          <w:rFonts w:ascii="Arial" w:hAnsi="Arial" w:cs="Arial"/>
          <w:i/>
          <w:sz w:val="22"/>
          <w:szCs w:val="22"/>
        </w:rPr>
      </w:pPr>
      <w:r w:rsidRPr="001D3EF4">
        <w:rPr>
          <w:rFonts w:ascii="Arial" w:hAnsi="Arial" w:cs="Arial"/>
          <w:i/>
          <w:sz w:val="22"/>
          <w:szCs w:val="22"/>
        </w:rPr>
        <w:t>Aumento</w:t>
      </w:r>
      <w:r w:rsidRPr="001D3EF4">
        <w:rPr>
          <w:rFonts w:ascii="Arial" w:hAnsi="Arial" w:cs="Arial"/>
          <w:bCs/>
          <w:i/>
          <w:sz w:val="22"/>
          <w:szCs w:val="22"/>
        </w:rPr>
        <w:t xml:space="preserve"> de linf</w:t>
      </w:r>
      <w:r w:rsidR="008D119A" w:rsidRPr="001D3EF4">
        <w:rPr>
          <w:rFonts w:ascii="Arial" w:hAnsi="Arial" w:cs="Arial"/>
          <w:bCs/>
          <w:i/>
          <w:sz w:val="22"/>
          <w:szCs w:val="22"/>
        </w:rPr>
        <w:t>ó</w:t>
      </w:r>
      <w:r w:rsidRPr="001D3EF4">
        <w:rPr>
          <w:rFonts w:ascii="Arial" w:hAnsi="Arial" w:cs="Arial"/>
          <w:bCs/>
          <w:i/>
          <w:sz w:val="22"/>
          <w:szCs w:val="22"/>
        </w:rPr>
        <w:t>n</w:t>
      </w:r>
      <w:r w:rsidR="008D119A" w:rsidRPr="001D3EF4">
        <w:rPr>
          <w:rFonts w:ascii="Arial" w:hAnsi="Arial" w:cs="Arial"/>
          <w:bCs/>
          <w:i/>
          <w:sz w:val="22"/>
          <w:szCs w:val="22"/>
        </w:rPr>
        <w:t>o</w:t>
      </w:r>
      <w:r w:rsidRPr="001D3EF4">
        <w:rPr>
          <w:rFonts w:ascii="Arial" w:hAnsi="Arial" w:cs="Arial"/>
          <w:bCs/>
          <w:i/>
          <w:sz w:val="22"/>
          <w:szCs w:val="22"/>
        </w:rPr>
        <w:t>d</w:t>
      </w:r>
      <w:r w:rsidR="008D119A" w:rsidRPr="001D3EF4">
        <w:rPr>
          <w:rFonts w:ascii="Arial" w:hAnsi="Arial" w:cs="Arial"/>
          <w:bCs/>
          <w:i/>
          <w:sz w:val="22"/>
          <w:szCs w:val="22"/>
        </w:rPr>
        <w:t>os</w:t>
      </w:r>
      <w:r w:rsidR="001D3EF4">
        <w:rPr>
          <w:rFonts w:ascii="Arial" w:hAnsi="Arial" w:cs="Arial"/>
          <w:bCs/>
          <w:i/>
          <w:sz w:val="22"/>
          <w:szCs w:val="22"/>
        </w:rPr>
        <w:t xml:space="preserve"> (&gt; </w:t>
      </w:r>
      <w:proofErr w:type="spellStart"/>
      <w:r w:rsidR="001D3EF4">
        <w:rPr>
          <w:rFonts w:ascii="Arial" w:hAnsi="Arial" w:cs="Arial"/>
          <w:bCs/>
          <w:i/>
          <w:sz w:val="22"/>
          <w:szCs w:val="22"/>
        </w:rPr>
        <w:t>1</w:t>
      </w:r>
      <w:r w:rsidRPr="001D3EF4">
        <w:rPr>
          <w:rFonts w:ascii="Arial" w:hAnsi="Arial" w:cs="Arial"/>
          <w:bCs/>
          <w:i/>
          <w:sz w:val="22"/>
          <w:szCs w:val="22"/>
        </w:rPr>
        <w:t>cm</w:t>
      </w:r>
      <w:proofErr w:type="spellEnd"/>
      <w:r w:rsidRPr="001D3EF4">
        <w:rPr>
          <w:rFonts w:ascii="Arial" w:hAnsi="Arial" w:cs="Arial"/>
          <w:bCs/>
          <w:i/>
          <w:sz w:val="22"/>
          <w:szCs w:val="22"/>
        </w:rPr>
        <w:t xml:space="preserve">) em 2 ou mais cadeias não contíguas (excluindo a cadeia inguinal) persistente por </w:t>
      </w:r>
      <w:r w:rsidR="00D221A1" w:rsidRPr="001D3EF4">
        <w:rPr>
          <w:rFonts w:ascii="Arial" w:hAnsi="Arial" w:cs="Arial"/>
          <w:bCs/>
          <w:i/>
          <w:sz w:val="22"/>
          <w:szCs w:val="22"/>
        </w:rPr>
        <w:t>três ou mais</w:t>
      </w:r>
      <w:r w:rsidRPr="001D3EF4">
        <w:rPr>
          <w:rFonts w:ascii="Arial" w:hAnsi="Arial" w:cs="Arial"/>
          <w:bCs/>
          <w:i/>
          <w:sz w:val="22"/>
          <w:szCs w:val="22"/>
        </w:rPr>
        <w:t xml:space="preserve"> meses, sem dor, sem causa conhecida</w:t>
      </w:r>
      <w:r w:rsidRPr="001D3EF4">
        <w:rPr>
          <w:rFonts w:ascii="Arial" w:hAnsi="Arial" w:cs="Arial"/>
          <w:i/>
          <w:sz w:val="22"/>
          <w:szCs w:val="22"/>
        </w:rPr>
        <w:t xml:space="preserve">.  </w:t>
      </w:r>
    </w:p>
    <w:p w:rsidR="00D510ED" w:rsidRPr="001D3EF4" w:rsidRDefault="00D510ED" w:rsidP="001D3EF4">
      <w:pPr>
        <w:pStyle w:val="ColorfulList-Accent11"/>
        <w:rPr>
          <w:rFonts w:ascii="Arial" w:hAnsi="Arial" w:cs="Arial"/>
          <w:sz w:val="22"/>
          <w:szCs w:val="22"/>
        </w:rPr>
      </w:pPr>
    </w:p>
    <w:p w:rsidR="00D510ED" w:rsidRPr="001D3EF4" w:rsidRDefault="00D510ED" w:rsidP="001D3EF4">
      <w:p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sz w:val="22"/>
          <w:szCs w:val="22"/>
        </w:rPr>
        <w:t xml:space="preserve">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Pr="001D3EF4">
        <w:rPr>
          <w:rFonts w:ascii="Arial" w:hAnsi="Arial" w:cs="Arial"/>
          <w:sz w:val="22"/>
          <w:szCs w:val="22"/>
        </w:rPr>
        <w:t xml:space="preserve"> geralmente está assintomático (além dos linf</w:t>
      </w:r>
      <w:r w:rsidR="008D119A" w:rsidRPr="001D3EF4">
        <w:rPr>
          <w:rFonts w:ascii="Arial" w:hAnsi="Arial" w:cs="Arial"/>
          <w:sz w:val="22"/>
          <w:szCs w:val="22"/>
        </w:rPr>
        <w:t>ó</w:t>
      </w:r>
      <w:r w:rsidRPr="001D3EF4">
        <w:rPr>
          <w:rFonts w:ascii="Arial" w:hAnsi="Arial" w:cs="Arial"/>
          <w:sz w:val="22"/>
          <w:szCs w:val="22"/>
        </w:rPr>
        <w:t>n</w:t>
      </w:r>
      <w:r w:rsidR="008D119A" w:rsidRPr="001D3EF4">
        <w:rPr>
          <w:rFonts w:ascii="Arial" w:hAnsi="Arial" w:cs="Arial"/>
          <w:sz w:val="22"/>
          <w:szCs w:val="22"/>
        </w:rPr>
        <w:t>o</w:t>
      </w:r>
      <w:r w:rsidRPr="001D3EF4">
        <w:rPr>
          <w:rFonts w:ascii="Arial" w:hAnsi="Arial" w:cs="Arial"/>
          <w:sz w:val="22"/>
          <w:szCs w:val="22"/>
        </w:rPr>
        <w:t xml:space="preserve">dos). O diagnóstico é clínico e antes de </w:t>
      </w:r>
      <w:r w:rsidR="008D119A" w:rsidRPr="001D3EF4">
        <w:rPr>
          <w:rFonts w:ascii="Arial" w:hAnsi="Arial" w:cs="Arial"/>
          <w:sz w:val="22"/>
          <w:szCs w:val="22"/>
        </w:rPr>
        <w:t xml:space="preserve">se </w:t>
      </w:r>
      <w:r w:rsidRPr="001D3EF4">
        <w:rPr>
          <w:rFonts w:ascii="Arial" w:hAnsi="Arial" w:cs="Arial"/>
          <w:sz w:val="22"/>
          <w:szCs w:val="22"/>
        </w:rPr>
        <w:t xml:space="preserve">falar de </w:t>
      </w:r>
      <w:proofErr w:type="spellStart"/>
      <w:r w:rsidRPr="001D3EF4">
        <w:rPr>
          <w:rFonts w:ascii="Arial" w:hAnsi="Arial" w:cs="Arial"/>
          <w:sz w:val="22"/>
          <w:szCs w:val="22"/>
        </w:rPr>
        <w:t>LGP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 deve</w:t>
      </w:r>
      <w:r w:rsidR="00024065" w:rsidRPr="001D3EF4">
        <w:rPr>
          <w:rFonts w:ascii="Arial" w:hAnsi="Arial" w:cs="Arial"/>
          <w:sz w:val="22"/>
          <w:szCs w:val="22"/>
        </w:rPr>
        <w:t xml:space="preserve">m </w:t>
      </w:r>
      <w:r w:rsidR="008D119A" w:rsidRPr="001D3EF4">
        <w:rPr>
          <w:rFonts w:ascii="Arial" w:hAnsi="Arial" w:cs="Arial"/>
          <w:sz w:val="22"/>
          <w:szCs w:val="22"/>
        </w:rPr>
        <w:t>se</w:t>
      </w:r>
      <w:r w:rsidR="00024065" w:rsidRPr="001D3EF4">
        <w:rPr>
          <w:rFonts w:ascii="Arial" w:hAnsi="Arial" w:cs="Arial"/>
          <w:sz w:val="22"/>
          <w:szCs w:val="22"/>
        </w:rPr>
        <w:t>r</w:t>
      </w:r>
      <w:r w:rsidRPr="001D3EF4">
        <w:rPr>
          <w:rFonts w:ascii="Arial" w:hAnsi="Arial" w:cs="Arial"/>
          <w:sz w:val="22"/>
          <w:szCs w:val="22"/>
        </w:rPr>
        <w:t xml:space="preserve"> elimina</w:t>
      </w:r>
      <w:r w:rsidR="00024065" w:rsidRPr="001D3EF4">
        <w:rPr>
          <w:rFonts w:ascii="Arial" w:hAnsi="Arial" w:cs="Arial"/>
          <w:sz w:val="22"/>
          <w:szCs w:val="22"/>
        </w:rPr>
        <w:t>das</w:t>
      </w:r>
      <w:r w:rsidRPr="001D3EF4">
        <w:rPr>
          <w:rFonts w:ascii="Arial" w:hAnsi="Arial" w:cs="Arial"/>
          <w:sz w:val="22"/>
          <w:szCs w:val="22"/>
        </w:rPr>
        <w:t xml:space="preserve"> outras </w:t>
      </w:r>
      <w:r w:rsidR="008D119A" w:rsidRPr="001D3EF4">
        <w:rPr>
          <w:rFonts w:ascii="Arial" w:hAnsi="Arial" w:cs="Arial"/>
          <w:sz w:val="22"/>
          <w:szCs w:val="22"/>
        </w:rPr>
        <w:t xml:space="preserve">possíveis </w:t>
      </w:r>
      <w:r w:rsidR="003A4CA5" w:rsidRPr="001D3EF4">
        <w:rPr>
          <w:rFonts w:ascii="Arial" w:hAnsi="Arial" w:cs="Arial"/>
          <w:sz w:val="22"/>
          <w:szCs w:val="22"/>
        </w:rPr>
        <w:t xml:space="preserve">causas. </w:t>
      </w:r>
      <w:r w:rsidRPr="001D3EF4">
        <w:rPr>
          <w:rFonts w:ascii="Arial" w:hAnsi="Arial" w:cs="Arial"/>
          <w:sz w:val="22"/>
          <w:szCs w:val="22"/>
        </w:rPr>
        <w:t xml:space="preserve">Se o </w:t>
      </w:r>
      <w:r w:rsidR="004375D6" w:rsidRPr="001D3EF4">
        <w:rPr>
          <w:rFonts w:ascii="Arial" w:hAnsi="Arial" w:cs="Arial"/>
          <w:sz w:val="22"/>
          <w:szCs w:val="22"/>
        </w:rPr>
        <w:t>doente</w:t>
      </w:r>
      <w:r w:rsidR="003A4CA5" w:rsidRPr="001D3EF4">
        <w:rPr>
          <w:rFonts w:ascii="Arial" w:hAnsi="Arial" w:cs="Arial"/>
          <w:sz w:val="22"/>
          <w:szCs w:val="22"/>
        </w:rPr>
        <w:t xml:space="preserve"> tiver</w:t>
      </w:r>
      <w:r w:rsidRPr="001D3EF4">
        <w:rPr>
          <w:rFonts w:ascii="Arial" w:hAnsi="Arial" w:cs="Arial"/>
          <w:sz w:val="22"/>
          <w:szCs w:val="22"/>
        </w:rPr>
        <w:t xml:space="preserve"> alguma condição de estadio III ou IV, a </w:t>
      </w:r>
      <w:proofErr w:type="spellStart"/>
      <w:r w:rsidR="003A4CA5" w:rsidRPr="001D3EF4">
        <w:rPr>
          <w:rFonts w:ascii="Arial" w:hAnsi="Arial" w:cs="Arial"/>
          <w:sz w:val="22"/>
          <w:szCs w:val="22"/>
        </w:rPr>
        <w:t>LGP</w:t>
      </w:r>
      <w:proofErr w:type="spellEnd"/>
      <w:r w:rsidR="003A4CA5" w:rsidRPr="001D3EF4">
        <w:rPr>
          <w:rFonts w:ascii="Arial" w:hAnsi="Arial" w:cs="Arial"/>
          <w:sz w:val="22"/>
          <w:szCs w:val="22"/>
        </w:rPr>
        <w:t xml:space="preserve"> não é um diagnóstico apropriado</w:t>
      </w:r>
      <w:r w:rsidR="00024065" w:rsidRPr="001D3EF4">
        <w:rPr>
          <w:rFonts w:ascii="Arial" w:hAnsi="Arial" w:cs="Arial"/>
          <w:sz w:val="22"/>
          <w:szCs w:val="22"/>
        </w:rPr>
        <w:t xml:space="preserve"> </w:t>
      </w:r>
      <w:r w:rsidRPr="001D3EF4">
        <w:rPr>
          <w:rFonts w:ascii="Arial" w:hAnsi="Arial" w:cs="Arial"/>
          <w:sz w:val="22"/>
          <w:szCs w:val="22"/>
        </w:rPr>
        <w:t xml:space="preserve">e o técnico deve procurar outra causa da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sz w:val="22"/>
          <w:szCs w:val="22"/>
        </w:rPr>
        <w:t xml:space="preserve">. </w:t>
      </w:r>
    </w:p>
    <w:p w:rsidR="00D510ED" w:rsidRPr="001D3EF4" w:rsidRDefault="00D510ED" w:rsidP="001D3EF4">
      <w:pPr>
        <w:pStyle w:val="ColorfulList-Accent11"/>
        <w:jc w:val="both"/>
        <w:rPr>
          <w:rFonts w:ascii="Arial" w:hAnsi="Arial" w:cs="Arial"/>
          <w:b/>
          <w:sz w:val="22"/>
          <w:szCs w:val="22"/>
        </w:rPr>
      </w:pPr>
    </w:p>
    <w:p w:rsidR="00D510ED" w:rsidRPr="001D3EF4" w:rsidRDefault="00D510ED" w:rsidP="001D3EF4">
      <w:pPr>
        <w:pStyle w:val="ColorfulList-Accent1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D3EF4">
        <w:rPr>
          <w:rFonts w:ascii="Arial" w:hAnsi="Arial" w:cs="Arial"/>
          <w:b/>
          <w:sz w:val="22"/>
          <w:szCs w:val="22"/>
        </w:rPr>
        <w:t xml:space="preserve">Outras causas de </w:t>
      </w:r>
      <w:proofErr w:type="spellStart"/>
      <w:r w:rsidRPr="001D3EF4">
        <w:rPr>
          <w:rFonts w:ascii="Arial" w:hAnsi="Arial" w:cs="Arial"/>
          <w:b/>
          <w:sz w:val="22"/>
          <w:szCs w:val="22"/>
        </w:rPr>
        <w:t>linfadenopatia</w:t>
      </w:r>
      <w:proofErr w:type="spellEnd"/>
      <w:r w:rsidRPr="001D3EF4">
        <w:rPr>
          <w:rFonts w:ascii="Arial" w:hAnsi="Arial" w:cs="Arial"/>
          <w:b/>
          <w:sz w:val="22"/>
          <w:szCs w:val="22"/>
        </w:rPr>
        <w:t xml:space="preserve"> localizada ou generalizada:</w:t>
      </w:r>
      <w:r w:rsidRPr="001D3EF4">
        <w:rPr>
          <w:rFonts w:ascii="Arial" w:hAnsi="Arial" w:cs="Arial"/>
          <w:sz w:val="22"/>
          <w:szCs w:val="22"/>
        </w:rPr>
        <w:t xml:space="preserve"> Outras doenças como o linfoma ou o </w:t>
      </w:r>
      <w:r w:rsidR="00D221A1" w:rsidRPr="001D3EF4">
        <w:rPr>
          <w:rFonts w:ascii="Arial" w:hAnsi="Arial" w:cs="Arial"/>
          <w:sz w:val="22"/>
          <w:szCs w:val="22"/>
        </w:rPr>
        <w:t>s</w:t>
      </w:r>
      <w:r w:rsidRPr="001D3EF4">
        <w:rPr>
          <w:rFonts w:ascii="Arial" w:hAnsi="Arial" w:cs="Arial"/>
          <w:sz w:val="22"/>
          <w:szCs w:val="22"/>
        </w:rPr>
        <w:t>arcoma de Kaposi podem manifestar</w:t>
      </w:r>
      <w:r w:rsidR="00450B17" w:rsidRPr="001D3EF4">
        <w:rPr>
          <w:rFonts w:ascii="Arial" w:hAnsi="Arial" w:cs="Arial"/>
          <w:sz w:val="22"/>
          <w:szCs w:val="22"/>
        </w:rPr>
        <w:t>-se</w:t>
      </w:r>
      <w:r w:rsidRPr="001D3EF4">
        <w:rPr>
          <w:rFonts w:ascii="Arial" w:hAnsi="Arial" w:cs="Arial"/>
          <w:sz w:val="22"/>
          <w:szCs w:val="22"/>
        </w:rPr>
        <w:t xml:space="preserve"> </w:t>
      </w:r>
      <w:r w:rsidR="003A4CA5" w:rsidRPr="001D3EF4">
        <w:rPr>
          <w:rFonts w:ascii="Arial" w:hAnsi="Arial" w:cs="Arial"/>
          <w:sz w:val="22"/>
          <w:szCs w:val="22"/>
        </w:rPr>
        <w:t xml:space="preserve">como </w:t>
      </w:r>
      <w:proofErr w:type="spellStart"/>
      <w:r w:rsidRPr="001D3EF4">
        <w:rPr>
          <w:rFonts w:ascii="Arial" w:hAnsi="Arial" w:cs="Arial"/>
          <w:sz w:val="22"/>
          <w:szCs w:val="22"/>
        </w:rPr>
        <w:t>linfadenopatias</w:t>
      </w:r>
      <w:proofErr w:type="spellEnd"/>
      <w:r w:rsidRPr="001D3EF4">
        <w:rPr>
          <w:rFonts w:ascii="Arial" w:hAnsi="Arial" w:cs="Arial"/>
          <w:sz w:val="22"/>
          <w:szCs w:val="22"/>
        </w:rPr>
        <w:t>. Nestes casos</w:t>
      </w:r>
      <w:r w:rsidR="00D221A1" w:rsidRPr="001D3EF4">
        <w:rPr>
          <w:rFonts w:ascii="Arial" w:hAnsi="Arial" w:cs="Arial"/>
          <w:sz w:val="22"/>
          <w:szCs w:val="22"/>
        </w:rPr>
        <w:t>,</w:t>
      </w:r>
      <w:r w:rsidRPr="001D3EF4">
        <w:rPr>
          <w:rFonts w:ascii="Arial" w:hAnsi="Arial" w:cs="Arial"/>
          <w:sz w:val="22"/>
          <w:szCs w:val="22"/>
        </w:rPr>
        <w:t xml:space="preserve"> o TMG deve referir o doente a</w:t>
      </w:r>
      <w:r w:rsidR="00442500" w:rsidRPr="001D3EF4">
        <w:rPr>
          <w:rFonts w:ascii="Arial" w:hAnsi="Arial" w:cs="Arial"/>
          <w:sz w:val="22"/>
          <w:szCs w:val="22"/>
        </w:rPr>
        <w:t xml:space="preserve">o médico </w:t>
      </w:r>
      <w:r w:rsidR="00F90A09" w:rsidRPr="001D3EF4">
        <w:rPr>
          <w:rFonts w:ascii="Arial" w:hAnsi="Arial" w:cs="Arial"/>
          <w:sz w:val="22"/>
          <w:szCs w:val="22"/>
        </w:rPr>
        <w:t xml:space="preserve">por tratar-se </w:t>
      </w:r>
      <w:r w:rsidRPr="001D3EF4">
        <w:rPr>
          <w:rFonts w:ascii="Arial" w:hAnsi="Arial" w:cs="Arial"/>
          <w:sz w:val="22"/>
          <w:szCs w:val="22"/>
        </w:rPr>
        <w:t>de doenças que definem o est</w:t>
      </w:r>
      <w:r w:rsidR="00450B17" w:rsidRPr="001D3EF4">
        <w:rPr>
          <w:rFonts w:ascii="Arial" w:hAnsi="Arial" w:cs="Arial"/>
          <w:sz w:val="22"/>
          <w:szCs w:val="22"/>
        </w:rPr>
        <w:t>a</w:t>
      </w:r>
      <w:r w:rsidRPr="001D3EF4">
        <w:rPr>
          <w:rFonts w:ascii="Arial" w:hAnsi="Arial" w:cs="Arial"/>
          <w:sz w:val="22"/>
          <w:szCs w:val="22"/>
        </w:rPr>
        <w:t>dio avançado</w:t>
      </w:r>
      <w:r w:rsidR="00F90A09" w:rsidRPr="001D3EF4">
        <w:rPr>
          <w:rFonts w:ascii="Arial" w:hAnsi="Arial" w:cs="Arial"/>
          <w:sz w:val="22"/>
          <w:szCs w:val="22"/>
        </w:rPr>
        <w:t>.</w:t>
      </w:r>
    </w:p>
    <w:p w:rsidR="00F90A09" w:rsidRPr="00517908" w:rsidRDefault="00F90A09" w:rsidP="00CD2B71">
      <w:pPr>
        <w:pStyle w:val="ColorfulList-Accent11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  <w:sectPr w:rsidR="00F90A09" w:rsidRPr="00517908" w:rsidSect="004D7CF6">
          <w:footerReference w:type="default" r:id="rId13"/>
          <w:footerReference w:type="first" r:id="rId14"/>
          <w:pgSz w:w="11906" w:h="16838"/>
          <w:pgMar w:top="851" w:right="851" w:bottom="284" w:left="851" w:header="709" w:footer="567" w:gutter="0"/>
          <w:pgNumType w:start="212"/>
          <w:cols w:space="708"/>
          <w:titlePg/>
          <w:docGrid w:linePitch="360"/>
        </w:sectPr>
      </w:pPr>
    </w:p>
    <w:p w:rsidR="00D510ED" w:rsidRPr="00517908" w:rsidRDefault="00D510ED" w:rsidP="00CD2B71">
      <w:pPr>
        <w:pStyle w:val="ColorfulList-Accent11"/>
        <w:spacing w:line="276" w:lineRule="auto"/>
        <w:ind w:left="708"/>
        <w:jc w:val="both"/>
        <w:rPr>
          <w:rFonts w:ascii="Arial" w:hAnsi="Arial" w:cs="Arial"/>
        </w:rPr>
      </w:pPr>
      <w:r w:rsidRPr="00517908">
        <w:rPr>
          <w:rFonts w:ascii="Arial" w:hAnsi="Arial" w:cs="Arial"/>
          <w:b/>
        </w:rPr>
        <w:lastRenderedPageBreak/>
        <w:t xml:space="preserve">Tabela 1: </w:t>
      </w:r>
      <w:r w:rsidR="00D221A1">
        <w:rPr>
          <w:rFonts w:ascii="Arial" w:hAnsi="Arial" w:cs="Arial"/>
          <w:b/>
        </w:rPr>
        <w:t>C</w:t>
      </w:r>
      <w:r w:rsidRPr="00517908">
        <w:rPr>
          <w:rFonts w:ascii="Arial" w:hAnsi="Arial" w:cs="Arial"/>
          <w:b/>
        </w:rPr>
        <w:t xml:space="preserve">aracterísticas da </w:t>
      </w:r>
      <w:proofErr w:type="spellStart"/>
      <w:r w:rsidRPr="00517908">
        <w:rPr>
          <w:rFonts w:ascii="Arial" w:hAnsi="Arial" w:cs="Arial"/>
          <w:b/>
        </w:rPr>
        <w:t>linfadenopatia</w:t>
      </w:r>
      <w:proofErr w:type="spellEnd"/>
      <w:r w:rsidRPr="00517908">
        <w:rPr>
          <w:rFonts w:ascii="Arial" w:hAnsi="Arial" w:cs="Arial"/>
          <w:b/>
        </w:rPr>
        <w:t xml:space="preserve"> em função da doença</w:t>
      </w:r>
    </w:p>
    <w:p w:rsidR="00D510ED" w:rsidRDefault="00D510ED" w:rsidP="00CD2B71">
      <w:pPr>
        <w:spacing w:line="276" w:lineRule="auto"/>
        <w:jc w:val="both"/>
        <w:rPr>
          <w:rFonts w:ascii="Arial" w:hAnsi="Arial" w:cs="Arial"/>
          <w:b/>
        </w:rPr>
      </w:pPr>
    </w:p>
    <w:p w:rsidR="006C654C" w:rsidRPr="00517908" w:rsidRDefault="0041677E" w:rsidP="00CD2B71">
      <w:pPr>
        <w:spacing w:line="276" w:lineRule="auto"/>
        <w:ind w:left="708"/>
        <w:jc w:val="both"/>
        <w:rPr>
          <w:rFonts w:ascii="Arial" w:hAnsi="Arial" w:cs="Arial"/>
          <w:b/>
        </w:rPr>
        <w:sectPr w:rsidR="006C654C" w:rsidRPr="00517908" w:rsidSect="00CD2B71">
          <w:pgSz w:w="16838" w:h="11906" w:orient="landscape" w:code="9"/>
          <w:pgMar w:top="851" w:right="851" w:bottom="1411" w:left="851" w:header="706" w:footer="706" w:gutter="0"/>
          <w:cols w:space="708"/>
          <w:docGrid w:linePitch="360"/>
        </w:sectPr>
      </w:pPr>
      <w:r w:rsidRPr="00B46E14">
        <w:rPr>
          <w:rFonts w:ascii="Arial" w:hAnsi="Arial" w:cs="Arial"/>
          <w:b/>
        </w:rPr>
        <w:object w:dxaOrig="20250" w:dyaOrig="9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416.25pt" o:ole="">
            <v:imagedata r:id="rId15" o:title=""/>
          </v:shape>
          <o:OLEObject Type="Embed" ProgID="Excel.Sheet.12" ShapeID="_x0000_i1025" DrawAspect="Content" ObjectID="_1423312471" r:id="rId16"/>
        </w:object>
      </w:r>
    </w:p>
    <w:p w:rsidR="00D510ED" w:rsidRPr="003A4CA5" w:rsidRDefault="00DE30B3" w:rsidP="00CD2B71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lastRenderedPageBreak/>
        <w:t>Pontos-C</w:t>
      </w:r>
      <w:r w:rsidR="00D510ED" w:rsidRPr="003A4CA5">
        <w:rPr>
          <w:rFonts w:ascii="Book Antiqua" w:hAnsi="Book Antiqua" w:cs="Arial"/>
          <w:sz w:val="26"/>
          <w:szCs w:val="26"/>
        </w:rPr>
        <w:t>have</w:t>
      </w:r>
    </w:p>
    <w:p w:rsidR="00D510ED" w:rsidRPr="00AF61E6" w:rsidRDefault="00D510ED" w:rsidP="00AF61E6">
      <w:pPr>
        <w:pStyle w:val="ColorfulList-Accent11"/>
        <w:numPr>
          <w:ilvl w:val="0"/>
          <w:numId w:val="4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F61E6">
        <w:rPr>
          <w:rFonts w:ascii="Arial" w:hAnsi="Arial" w:cs="Arial"/>
          <w:sz w:val="22"/>
          <w:szCs w:val="22"/>
        </w:rPr>
        <w:t>linfadenopatia</w:t>
      </w:r>
      <w:proofErr w:type="spellEnd"/>
      <w:r w:rsidRPr="00AF61E6">
        <w:rPr>
          <w:rFonts w:ascii="Arial" w:hAnsi="Arial" w:cs="Arial"/>
          <w:sz w:val="22"/>
          <w:szCs w:val="22"/>
        </w:rPr>
        <w:t xml:space="preserve"> é frequente nos doentes seropositivos e pode ser um sinal </w:t>
      </w:r>
      <w:proofErr w:type="gramStart"/>
      <w:r w:rsidRPr="00AF61E6">
        <w:rPr>
          <w:rFonts w:ascii="Arial" w:hAnsi="Arial" w:cs="Arial"/>
          <w:sz w:val="22"/>
          <w:szCs w:val="22"/>
        </w:rPr>
        <w:t>de</w:t>
      </w:r>
      <w:proofErr w:type="gramEnd"/>
      <w:r w:rsidRPr="00AF61E6">
        <w:rPr>
          <w:rFonts w:ascii="Arial" w:hAnsi="Arial" w:cs="Arial"/>
          <w:sz w:val="22"/>
          <w:szCs w:val="22"/>
        </w:rPr>
        <w:t>:</w:t>
      </w:r>
    </w:p>
    <w:p w:rsidR="00D510ED" w:rsidRPr="00AF61E6" w:rsidRDefault="00D510ED" w:rsidP="00AF61E6">
      <w:pPr>
        <w:pStyle w:val="ColorfulList-Accent11"/>
        <w:numPr>
          <w:ilvl w:val="1"/>
          <w:numId w:val="8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>Doença comum (infecção bacteriana) semelhante a que podem apresentar os doentes seronegativos</w:t>
      </w:r>
      <w:r w:rsidR="00A26481" w:rsidRPr="00AF61E6">
        <w:rPr>
          <w:rFonts w:ascii="Arial" w:hAnsi="Arial" w:cs="Arial"/>
          <w:sz w:val="22"/>
          <w:szCs w:val="22"/>
        </w:rPr>
        <w:t>;</w:t>
      </w:r>
    </w:p>
    <w:p w:rsidR="00D510ED" w:rsidRPr="00AF61E6" w:rsidRDefault="00D510ED" w:rsidP="00AF61E6">
      <w:pPr>
        <w:pStyle w:val="ColorfulList-Accent11"/>
        <w:numPr>
          <w:ilvl w:val="1"/>
          <w:numId w:val="8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 xml:space="preserve">Doença relacionada com </w:t>
      </w:r>
      <w:proofErr w:type="spellStart"/>
      <w:proofErr w:type="gramStart"/>
      <w:r w:rsidRPr="00AF61E6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AF61E6">
        <w:rPr>
          <w:rFonts w:ascii="Arial" w:hAnsi="Arial" w:cs="Arial"/>
          <w:sz w:val="22"/>
          <w:szCs w:val="22"/>
        </w:rPr>
        <w:t xml:space="preserve"> (IO, </w:t>
      </w:r>
      <w:r w:rsidR="00D221A1" w:rsidRPr="00AF61E6">
        <w:rPr>
          <w:rFonts w:ascii="Arial" w:hAnsi="Arial" w:cs="Arial"/>
          <w:sz w:val="22"/>
          <w:szCs w:val="22"/>
        </w:rPr>
        <w:t>s</w:t>
      </w:r>
      <w:r w:rsidRPr="00AF61E6">
        <w:rPr>
          <w:rFonts w:ascii="Arial" w:hAnsi="Arial" w:cs="Arial"/>
          <w:sz w:val="22"/>
          <w:szCs w:val="22"/>
        </w:rPr>
        <w:t>arcoma de Kaposi)</w:t>
      </w:r>
      <w:r w:rsidR="00A26481" w:rsidRPr="00AF61E6">
        <w:rPr>
          <w:rFonts w:ascii="Arial" w:hAnsi="Arial" w:cs="Arial"/>
          <w:sz w:val="22"/>
          <w:szCs w:val="22"/>
        </w:rPr>
        <w:t>.</w:t>
      </w:r>
    </w:p>
    <w:p w:rsidR="00C27FA9" w:rsidRDefault="00D510ED" w:rsidP="00C27FA9">
      <w:pPr>
        <w:pStyle w:val="ColorfulList-Accent11"/>
        <w:numPr>
          <w:ilvl w:val="0"/>
          <w:numId w:val="4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 xml:space="preserve">O conhecimento das características clínicas como localização e distribuição, tamanho, consistência das </w:t>
      </w:r>
      <w:proofErr w:type="spellStart"/>
      <w:r w:rsidRPr="00AF61E6">
        <w:rPr>
          <w:rFonts w:ascii="Arial" w:hAnsi="Arial" w:cs="Arial"/>
          <w:sz w:val="22"/>
          <w:szCs w:val="22"/>
        </w:rPr>
        <w:t>linfadenopatias</w:t>
      </w:r>
      <w:proofErr w:type="spellEnd"/>
      <w:r w:rsidRPr="00AF61E6">
        <w:rPr>
          <w:rFonts w:ascii="Arial" w:hAnsi="Arial" w:cs="Arial"/>
          <w:sz w:val="22"/>
          <w:szCs w:val="22"/>
        </w:rPr>
        <w:t xml:space="preserve"> em cada uma das doenças pode ajudar o TMG no diagnóstico diferencial. </w:t>
      </w:r>
    </w:p>
    <w:p w:rsidR="00C27FA9" w:rsidRPr="00C27FA9" w:rsidRDefault="00D510ED" w:rsidP="00C27FA9">
      <w:pPr>
        <w:pStyle w:val="ColorfulList-Accent11"/>
        <w:numPr>
          <w:ilvl w:val="0"/>
          <w:numId w:val="4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C27FA9">
        <w:rPr>
          <w:rFonts w:ascii="Arial" w:hAnsi="Arial" w:cs="Arial"/>
          <w:sz w:val="22"/>
          <w:szCs w:val="22"/>
        </w:rPr>
        <w:t xml:space="preserve">Nos casos em que a </w:t>
      </w:r>
      <w:proofErr w:type="spellStart"/>
      <w:r w:rsidRPr="00C27FA9">
        <w:rPr>
          <w:rFonts w:ascii="Arial" w:hAnsi="Arial" w:cs="Arial"/>
          <w:sz w:val="22"/>
          <w:szCs w:val="22"/>
        </w:rPr>
        <w:t>linfadenopatia</w:t>
      </w:r>
      <w:proofErr w:type="spellEnd"/>
      <w:r w:rsidRPr="00C27FA9">
        <w:rPr>
          <w:rFonts w:ascii="Arial" w:hAnsi="Arial" w:cs="Arial"/>
          <w:sz w:val="22"/>
          <w:szCs w:val="22"/>
        </w:rPr>
        <w:t xml:space="preserve"> seja consequênc</w:t>
      </w:r>
      <w:r w:rsidR="00450B17" w:rsidRPr="00C27FA9">
        <w:rPr>
          <w:rFonts w:ascii="Arial" w:hAnsi="Arial" w:cs="Arial"/>
          <w:sz w:val="22"/>
          <w:szCs w:val="22"/>
        </w:rPr>
        <w:t>ia da presença de doença de esta</w:t>
      </w:r>
      <w:r w:rsidRPr="00C27FA9">
        <w:rPr>
          <w:rFonts w:ascii="Arial" w:hAnsi="Arial" w:cs="Arial"/>
          <w:sz w:val="22"/>
          <w:szCs w:val="22"/>
        </w:rPr>
        <w:t xml:space="preserve">dio avançado, </w:t>
      </w:r>
      <w:r w:rsidR="00A26481" w:rsidRPr="00C27FA9">
        <w:rPr>
          <w:rFonts w:ascii="Arial" w:hAnsi="Arial" w:cs="Arial"/>
          <w:sz w:val="22"/>
          <w:szCs w:val="22"/>
        </w:rPr>
        <w:t>o TMG</w:t>
      </w:r>
      <w:r w:rsidRPr="00C27FA9">
        <w:rPr>
          <w:rFonts w:ascii="Arial" w:hAnsi="Arial" w:cs="Arial"/>
          <w:sz w:val="22"/>
          <w:szCs w:val="22"/>
        </w:rPr>
        <w:t xml:space="preserve"> deverá encaminhar o </w:t>
      </w:r>
      <w:r w:rsidR="004375D6" w:rsidRPr="00C27FA9">
        <w:rPr>
          <w:rFonts w:ascii="Arial" w:hAnsi="Arial" w:cs="Arial"/>
          <w:sz w:val="22"/>
          <w:szCs w:val="22"/>
        </w:rPr>
        <w:t>doente</w:t>
      </w:r>
      <w:r w:rsidRPr="00C27FA9">
        <w:rPr>
          <w:rFonts w:ascii="Arial" w:hAnsi="Arial" w:cs="Arial"/>
          <w:sz w:val="22"/>
          <w:szCs w:val="22"/>
        </w:rPr>
        <w:t xml:space="preserve"> ao </w:t>
      </w:r>
      <w:r w:rsidR="00C27FA9" w:rsidRPr="00C27FA9">
        <w:rPr>
          <w:rFonts w:ascii="Arial" w:hAnsi="Arial" w:cs="Arial"/>
          <w:sz w:val="22"/>
          <w:szCs w:val="22"/>
        </w:rPr>
        <w:t>médico</w:t>
      </w:r>
    </w:p>
    <w:p w:rsidR="004D7CF6" w:rsidRDefault="004D7CF6" w:rsidP="00CD2B71">
      <w:pPr>
        <w:pStyle w:val="ColorfulList-Accent11"/>
        <w:numPr>
          <w:ilvl w:val="0"/>
          <w:numId w:val="4"/>
        </w:numPr>
        <w:spacing w:before="360" w:after="240" w:line="276" w:lineRule="auto"/>
        <w:jc w:val="both"/>
        <w:rPr>
          <w:rFonts w:ascii="Book Antiqua" w:hAnsi="Book Antiqua" w:cs="Arial"/>
          <w:sz w:val="26"/>
          <w:szCs w:val="26"/>
        </w:rPr>
      </w:pPr>
    </w:p>
    <w:p w:rsidR="004D7CF6" w:rsidRPr="003A4CA5" w:rsidRDefault="004D7CF6" w:rsidP="004D7CF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t>Anexos</w:t>
      </w:r>
    </w:p>
    <w:p w:rsidR="004718C6" w:rsidRPr="00AF61E6" w:rsidRDefault="004718C6" w:rsidP="00AF61E6">
      <w:pPr>
        <w:pStyle w:val="ColorfulList-Accent11"/>
        <w:spacing w:before="240" w:after="120"/>
        <w:ind w:left="0"/>
        <w:jc w:val="both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>Em anexo a esta unidade encontra-se o seguinte documento:</w:t>
      </w:r>
    </w:p>
    <w:p w:rsidR="00C06185" w:rsidRDefault="003A4CA5" w:rsidP="00AF61E6">
      <w:pPr>
        <w:pStyle w:val="ListBullet2"/>
        <w:rPr>
          <w:rFonts w:ascii="Arial" w:hAnsi="Arial" w:cs="Arial"/>
          <w:sz w:val="22"/>
          <w:szCs w:val="22"/>
        </w:rPr>
      </w:pPr>
      <w:r w:rsidRPr="00AF61E6">
        <w:rPr>
          <w:rFonts w:ascii="Arial" w:hAnsi="Arial" w:cs="Arial"/>
          <w:sz w:val="22"/>
          <w:szCs w:val="22"/>
        </w:rPr>
        <w:t>Algoritmo d</w:t>
      </w:r>
      <w:r w:rsidR="00A26481" w:rsidRPr="00AF61E6">
        <w:rPr>
          <w:rFonts w:ascii="Arial" w:hAnsi="Arial" w:cs="Arial"/>
          <w:sz w:val="22"/>
          <w:szCs w:val="22"/>
        </w:rPr>
        <w:t>a</w:t>
      </w:r>
      <w:r w:rsidR="004718C6" w:rsidRPr="00AF61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18C6" w:rsidRPr="00AF61E6">
        <w:rPr>
          <w:rFonts w:ascii="Arial" w:hAnsi="Arial" w:cs="Arial"/>
          <w:sz w:val="22"/>
          <w:szCs w:val="22"/>
        </w:rPr>
        <w:t>Linfadenopatia</w:t>
      </w:r>
      <w:proofErr w:type="spellEnd"/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Default="00D839E5" w:rsidP="00D839E5">
      <w:pPr>
        <w:rPr>
          <w:rFonts w:ascii="Arial" w:hAnsi="Arial" w:cs="Arial"/>
          <w:sz w:val="22"/>
          <w:szCs w:val="22"/>
        </w:rPr>
      </w:pPr>
    </w:p>
    <w:p w:rsidR="00D839E5" w:rsidRPr="00AF61E6" w:rsidRDefault="00D839E5" w:rsidP="00D839E5">
      <w:pPr>
        <w:rPr>
          <w:rFonts w:ascii="Arial" w:hAnsi="Arial" w:cs="Arial"/>
          <w:sz w:val="22"/>
          <w:szCs w:val="22"/>
        </w:rPr>
      </w:pPr>
    </w:p>
    <w:p w:rsidR="00C06185" w:rsidRDefault="00C06185" w:rsidP="00C06185">
      <w:pPr>
        <w:pStyle w:val="Default"/>
        <w:framePr w:w="2044" w:wrap="auto" w:vAnchor="page" w:hAnchor="page" w:x="5540" w:y="3667"/>
        <w:jc w:val="center"/>
        <w:rPr>
          <w:sz w:val="13"/>
          <w:szCs w:val="13"/>
        </w:rPr>
      </w:pPr>
    </w:p>
    <w:p w:rsidR="00D510ED" w:rsidRPr="009F1482" w:rsidRDefault="00115319" w:rsidP="00115319">
      <w:pPr>
        <w:spacing w:line="276" w:lineRule="auto"/>
        <w:jc w:val="center"/>
        <w:rPr>
          <w:rFonts w:ascii="Arial" w:hAnsi="Arial" w:cs="Arial"/>
          <w:b/>
        </w:rPr>
      </w:pPr>
      <w:r w:rsidRPr="00A6308D">
        <w:rPr>
          <w:rFonts w:ascii="Verdana" w:eastAsia="Calibri" w:hAnsi="Verdana" w:cs="Verdana"/>
          <w:sz w:val="15"/>
          <w:szCs w:val="15"/>
        </w:rPr>
        <w:object w:dxaOrig="8925" w:dyaOrig="12631">
          <v:shape id="_x0000_i1026" type="#_x0000_t75" style="width:513pt;height:723.75pt" o:ole="">
            <v:imagedata r:id="rId17" o:title=""/>
          </v:shape>
          <o:OLEObject Type="Embed" ProgID="AcroExch.Document.7" ShapeID="_x0000_i1026" DrawAspect="Content" ObjectID="_1423312472" r:id="rId18"/>
        </w:object>
      </w:r>
    </w:p>
    <w:sectPr w:rsidR="00D510ED" w:rsidRPr="009F1482" w:rsidSect="00C93FE1">
      <w:pgSz w:w="11909" w:h="16834" w:code="9"/>
      <w:pgMar w:top="851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E7" w:rsidRDefault="00A927E7" w:rsidP="00D510ED">
      <w:r>
        <w:separator/>
      </w:r>
    </w:p>
  </w:endnote>
  <w:endnote w:type="continuationSeparator" w:id="0">
    <w:p w:rsidR="00A927E7" w:rsidRDefault="00A927E7" w:rsidP="00D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4D0" w:rsidRPr="002C31C2" w:rsidRDefault="00C904D0" w:rsidP="00C904D0">
    <w:pPr>
      <w:pStyle w:val="Footer"/>
      <w:pBdr>
        <w:top w:val="single" w:sz="8" w:space="1" w:color="auto"/>
      </w:pBdr>
      <w:tabs>
        <w:tab w:val="clear" w:pos="4320"/>
        <w:tab w:val="center" w:pos="8280"/>
      </w:tabs>
      <w:rPr>
        <w:rStyle w:val="Enfasidelicata"/>
        <w:iCs w:val="0"/>
        <w:sz w:val="20"/>
        <w:szCs w:val="20"/>
      </w:rPr>
    </w:pPr>
    <w:r w:rsidRPr="002C31C2">
      <w:rPr>
        <w:rStyle w:val="Enfasidelicata"/>
        <w:sz w:val="20"/>
        <w:szCs w:val="20"/>
      </w:rPr>
      <w:t>Manual d</w:t>
    </w:r>
    <w:r w:rsidR="005B7E0A">
      <w:rPr>
        <w:rStyle w:val="Enfasidelicata"/>
        <w:sz w:val="20"/>
        <w:szCs w:val="20"/>
      </w:rPr>
      <w:t>e</w:t>
    </w:r>
    <w:r w:rsidRPr="002C31C2">
      <w:rPr>
        <w:rStyle w:val="Enfasidelicata"/>
        <w:sz w:val="20"/>
        <w:szCs w:val="20"/>
      </w:rPr>
      <w:t xml:space="preserve"> Referência do Técnico de Medicina</w:t>
    </w:r>
    <w:r w:rsidRPr="002C31C2">
      <w:rPr>
        <w:rStyle w:val="Enfasidelicata"/>
        <w:sz w:val="20"/>
        <w:szCs w:val="20"/>
      </w:rPr>
      <w:tab/>
    </w:r>
    <w:r w:rsidR="004146EE" w:rsidRPr="002C31C2">
      <w:rPr>
        <w:rStyle w:val="Enfasidelicata"/>
        <w:sz w:val="20"/>
        <w:szCs w:val="20"/>
      </w:rPr>
      <w:fldChar w:fldCharType="begin"/>
    </w:r>
    <w:r w:rsidRPr="002C31C2">
      <w:rPr>
        <w:rStyle w:val="Enfasidelicata"/>
        <w:sz w:val="20"/>
        <w:szCs w:val="20"/>
      </w:rPr>
      <w:instrText xml:space="preserve"> PAGE   \* MERGEFORMAT </w:instrText>
    </w:r>
    <w:r w:rsidR="004146EE" w:rsidRPr="002C31C2">
      <w:rPr>
        <w:rStyle w:val="Enfasidelicata"/>
        <w:sz w:val="20"/>
        <w:szCs w:val="20"/>
      </w:rPr>
      <w:fldChar w:fldCharType="separate"/>
    </w:r>
    <w:r w:rsidR="004D7CF6">
      <w:rPr>
        <w:rStyle w:val="Enfasidelicata"/>
        <w:noProof/>
        <w:sz w:val="20"/>
        <w:szCs w:val="20"/>
      </w:rPr>
      <w:t>217</w:t>
    </w:r>
    <w:r w:rsidR="004146EE" w:rsidRPr="002C31C2">
      <w:rPr>
        <w:rStyle w:val="Enfasidelicata"/>
        <w:sz w:val="20"/>
        <w:szCs w:val="20"/>
      </w:rPr>
      <w:fldChar w:fldCharType="end"/>
    </w:r>
  </w:p>
  <w:p w:rsidR="00C904D0" w:rsidRPr="00C904D0" w:rsidRDefault="00C904D0" w:rsidP="00C904D0">
    <w:pPr>
      <w:pStyle w:val="Footer"/>
      <w:pBdr>
        <w:top w:val="single" w:sz="8" w:space="1" w:color="auto"/>
      </w:pBdr>
      <w:tabs>
        <w:tab w:val="right" w:pos="8280"/>
      </w:tabs>
      <w:rPr>
        <w:i/>
        <w:iCs/>
        <w:color w:val="808080"/>
        <w:sz w:val="20"/>
        <w:szCs w:val="20"/>
      </w:rPr>
    </w:pPr>
    <w:proofErr w:type="spellStart"/>
    <w:r w:rsidRPr="00C904D0">
      <w:rPr>
        <w:rStyle w:val="Enfasidelicata"/>
        <w:sz w:val="20"/>
        <w:szCs w:val="20"/>
      </w:rPr>
      <w:t>Linfadenopatias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4D0" w:rsidRPr="002C31C2" w:rsidRDefault="00C904D0" w:rsidP="00C904D0">
    <w:pPr>
      <w:pStyle w:val="Footer"/>
      <w:pBdr>
        <w:top w:val="single" w:sz="8" w:space="1" w:color="auto"/>
      </w:pBdr>
      <w:tabs>
        <w:tab w:val="clear" w:pos="4320"/>
        <w:tab w:val="center" w:pos="8280"/>
      </w:tabs>
      <w:rPr>
        <w:rStyle w:val="Enfasidelicata"/>
        <w:iCs w:val="0"/>
        <w:sz w:val="20"/>
        <w:szCs w:val="20"/>
      </w:rPr>
    </w:pPr>
    <w:r w:rsidRPr="002C31C2">
      <w:rPr>
        <w:rStyle w:val="Enfasidelicata"/>
        <w:sz w:val="20"/>
        <w:szCs w:val="20"/>
      </w:rPr>
      <w:t>Manual d</w:t>
    </w:r>
    <w:r w:rsidR="005B7E0A">
      <w:rPr>
        <w:rStyle w:val="Enfasidelicata"/>
        <w:sz w:val="20"/>
        <w:szCs w:val="20"/>
      </w:rPr>
      <w:t>e</w:t>
    </w:r>
    <w:r w:rsidRPr="002C31C2">
      <w:rPr>
        <w:rStyle w:val="Enfasidelicata"/>
        <w:sz w:val="20"/>
        <w:szCs w:val="20"/>
      </w:rPr>
      <w:t xml:space="preserve"> Referência do Técnico de Medicina</w:t>
    </w:r>
    <w:r w:rsidRPr="002C31C2">
      <w:rPr>
        <w:rStyle w:val="Enfasidelicata"/>
        <w:sz w:val="20"/>
        <w:szCs w:val="20"/>
      </w:rPr>
      <w:tab/>
    </w:r>
    <w:r w:rsidR="004146EE" w:rsidRPr="002C31C2">
      <w:rPr>
        <w:rStyle w:val="Enfasidelicata"/>
        <w:sz w:val="20"/>
        <w:szCs w:val="20"/>
      </w:rPr>
      <w:fldChar w:fldCharType="begin"/>
    </w:r>
    <w:r w:rsidRPr="002C31C2">
      <w:rPr>
        <w:rStyle w:val="Enfasidelicata"/>
        <w:sz w:val="20"/>
        <w:szCs w:val="20"/>
      </w:rPr>
      <w:instrText xml:space="preserve"> PAGE   \* MERGEFORMAT </w:instrText>
    </w:r>
    <w:r w:rsidR="004146EE" w:rsidRPr="002C31C2">
      <w:rPr>
        <w:rStyle w:val="Enfasidelicata"/>
        <w:sz w:val="20"/>
        <w:szCs w:val="20"/>
      </w:rPr>
      <w:fldChar w:fldCharType="separate"/>
    </w:r>
    <w:r w:rsidR="004D7CF6">
      <w:rPr>
        <w:rStyle w:val="Enfasidelicata"/>
        <w:noProof/>
        <w:sz w:val="20"/>
        <w:szCs w:val="20"/>
      </w:rPr>
      <w:t>216</w:t>
    </w:r>
    <w:r w:rsidR="004146EE" w:rsidRPr="002C31C2">
      <w:rPr>
        <w:rStyle w:val="Enfasidelicata"/>
        <w:sz w:val="20"/>
        <w:szCs w:val="20"/>
      </w:rPr>
      <w:fldChar w:fldCharType="end"/>
    </w:r>
  </w:p>
  <w:p w:rsidR="00D510ED" w:rsidRPr="00C904D0" w:rsidRDefault="00C904D0" w:rsidP="00C904D0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sz w:val="20"/>
        <w:szCs w:val="20"/>
      </w:rPr>
    </w:pPr>
    <w:proofErr w:type="spellStart"/>
    <w:r w:rsidRPr="00C904D0">
      <w:rPr>
        <w:rStyle w:val="Enfasidelicata"/>
        <w:sz w:val="20"/>
        <w:szCs w:val="20"/>
      </w:rPr>
      <w:t>Linfadenopatias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E7" w:rsidRDefault="00A927E7" w:rsidP="00D510ED">
      <w:r>
        <w:separator/>
      </w:r>
    </w:p>
  </w:footnote>
  <w:footnote w:type="continuationSeparator" w:id="0">
    <w:p w:rsidR="00A927E7" w:rsidRDefault="00A927E7" w:rsidP="00D51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12A97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B62AB1"/>
    <w:multiLevelType w:val="hybridMultilevel"/>
    <w:tmpl w:val="F4FA9B1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E2278"/>
    <w:multiLevelType w:val="hybridMultilevel"/>
    <w:tmpl w:val="23805F8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24A7F03"/>
    <w:multiLevelType w:val="hybridMultilevel"/>
    <w:tmpl w:val="804ED1D8"/>
    <w:lvl w:ilvl="0" w:tplc="0C4883A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530" w:hanging="360"/>
      </w:pPr>
    </w:lvl>
    <w:lvl w:ilvl="2" w:tplc="0436001B" w:tentative="1">
      <w:start w:val="1"/>
      <w:numFmt w:val="lowerRoman"/>
      <w:lvlText w:val="%3."/>
      <w:lvlJc w:val="right"/>
      <w:pPr>
        <w:ind w:left="2250" w:hanging="180"/>
      </w:pPr>
    </w:lvl>
    <w:lvl w:ilvl="3" w:tplc="0436000F" w:tentative="1">
      <w:start w:val="1"/>
      <w:numFmt w:val="decimal"/>
      <w:lvlText w:val="%4."/>
      <w:lvlJc w:val="left"/>
      <w:pPr>
        <w:ind w:left="2970" w:hanging="360"/>
      </w:pPr>
    </w:lvl>
    <w:lvl w:ilvl="4" w:tplc="04360019" w:tentative="1">
      <w:start w:val="1"/>
      <w:numFmt w:val="lowerLetter"/>
      <w:lvlText w:val="%5."/>
      <w:lvlJc w:val="left"/>
      <w:pPr>
        <w:ind w:left="3690" w:hanging="360"/>
      </w:pPr>
    </w:lvl>
    <w:lvl w:ilvl="5" w:tplc="0436001B" w:tentative="1">
      <w:start w:val="1"/>
      <w:numFmt w:val="lowerRoman"/>
      <w:lvlText w:val="%6."/>
      <w:lvlJc w:val="right"/>
      <w:pPr>
        <w:ind w:left="4410" w:hanging="180"/>
      </w:pPr>
    </w:lvl>
    <w:lvl w:ilvl="6" w:tplc="0436000F" w:tentative="1">
      <w:start w:val="1"/>
      <w:numFmt w:val="decimal"/>
      <w:lvlText w:val="%7."/>
      <w:lvlJc w:val="left"/>
      <w:pPr>
        <w:ind w:left="5130" w:hanging="360"/>
      </w:pPr>
    </w:lvl>
    <w:lvl w:ilvl="7" w:tplc="04360019" w:tentative="1">
      <w:start w:val="1"/>
      <w:numFmt w:val="lowerLetter"/>
      <w:lvlText w:val="%8."/>
      <w:lvlJc w:val="left"/>
      <w:pPr>
        <w:ind w:left="5850" w:hanging="360"/>
      </w:pPr>
    </w:lvl>
    <w:lvl w:ilvl="8" w:tplc="043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3BC781A"/>
    <w:multiLevelType w:val="hybridMultilevel"/>
    <w:tmpl w:val="C97AF15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90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4713B"/>
    <w:multiLevelType w:val="hybridMultilevel"/>
    <w:tmpl w:val="8D5C877E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471F6"/>
    <w:multiLevelType w:val="hybridMultilevel"/>
    <w:tmpl w:val="5BECD736"/>
    <w:lvl w:ilvl="0" w:tplc="0C4883AA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ind w:left="2868" w:hanging="180"/>
      </w:pPr>
    </w:lvl>
    <w:lvl w:ilvl="3" w:tplc="0436000F" w:tentative="1">
      <w:start w:val="1"/>
      <w:numFmt w:val="decimal"/>
      <w:lvlText w:val="%4."/>
      <w:lvlJc w:val="left"/>
      <w:pPr>
        <w:ind w:left="3588" w:hanging="360"/>
      </w:pPr>
    </w:lvl>
    <w:lvl w:ilvl="4" w:tplc="04360019" w:tentative="1">
      <w:start w:val="1"/>
      <w:numFmt w:val="lowerLetter"/>
      <w:lvlText w:val="%5."/>
      <w:lvlJc w:val="left"/>
      <w:pPr>
        <w:ind w:left="4308" w:hanging="360"/>
      </w:pPr>
    </w:lvl>
    <w:lvl w:ilvl="5" w:tplc="0436001B" w:tentative="1">
      <w:start w:val="1"/>
      <w:numFmt w:val="lowerRoman"/>
      <w:lvlText w:val="%6."/>
      <w:lvlJc w:val="right"/>
      <w:pPr>
        <w:ind w:left="5028" w:hanging="180"/>
      </w:pPr>
    </w:lvl>
    <w:lvl w:ilvl="6" w:tplc="0436000F" w:tentative="1">
      <w:start w:val="1"/>
      <w:numFmt w:val="decimal"/>
      <w:lvlText w:val="%7."/>
      <w:lvlJc w:val="left"/>
      <w:pPr>
        <w:ind w:left="5748" w:hanging="360"/>
      </w:pPr>
    </w:lvl>
    <w:lvl w:ilvl="7" w:tplc="04360019" w:tentative="1">
      <w:start w:val="1"/>
      <w:numFmt w:val="lowerLetter"/>
      <w:lvlText w:val="%8."/>
      <w:lvlJc w:val="left"/>
      <w:pPr>
        <w:ind w:left="6468" w:hanging="360"/>
      </w:pPr>
    </w:lvl>
    <w:lvl w:ilvl="8" w:tplc="043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932EBC"/>
    <w:multiLevelType w:val="hybridMultilevel"/>
    <w:tmpl w:val="5A200546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7A4F1F"/>
    <w:multiLevelType w:val="hybridMultilevel"/>
    <w:tmpl w:val="63E0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7266F"/>
    <w:multiLevelType w:val="hybridMultilevel"/>
    <w:tmpl w:val="4E7A1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01988"/>
    <w:multiLevelType w:val="hybridMultilevel"/>
    <w:tmpl w:val="515E07A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5C4E6C"/>
    <w:rsid w:val="000128CE"/>
    <w:rsid w:val="00024065"/>
    <w:rsid w:val="0003408B"/>
    <w:rsid w:val="000541A3"/>
    <w:rsid w:val="000557B3"/>
    <w:rsid w:val="000A2C9A"/>
    <w:rsid w:val="000D3437"/>
    <w:rsid w:val="000E666F"/>
    <w:rsid w:val="000F7A48"/>
    <w:rsid w:val="00100CA6"/>
    <w:rsid w:val="00102574"/>
    <w:rsid w:val="00107FB0"/>
    <w:rsid w:val="00115319"/>
    <w:rsid w:val="00117D05"/>
    <w:rsid w:val="00177498"/>
    <w:rsid w:val="001840AA"/>
    <w:rsid w:val="001A5DC2"/>
    <w:rsid w:val="001D3EF4"/>
    <w:rsid w:val="001F5F8A"/>
    <w:rsid w:val="00283819"/>
    <w:rsid w:val="00285784"/>
    <w:rsid w:val="002956C3"/>
    <w:rsid w:val="002B4E12"/>
    <w:rsid w:val="002C5CED"/>
    <w:rsid w:val="002E02DE"/>
    <w:rsid w:val="0034403B"/>
    <w:rsid w:val="003641B9"/>
    <w:rsid w:val="00370E65"/>
    <w:rsid w:val="0038249C"/>
    <w:rsid w:val="003A4CA5"/>
    <w:rsid w:val="003D2821"/>
    <w:rsid w:val="003D79F2"/>
    <w:rsid w:val="003E546F"/>
    <w:rsid w:val="003F29A8"/>
    <w:rsid w:val="00403923"/>
    <w:rsid w:val="004146EE"/>
    <w:rsid w:val="0041677E"/>
    <w:rsid w:val="0042093D"/>
    <w:rsid w:val="004375D6"/>
    <w:rsid w:val="00442500"/>
    <w:rsid w:val="00450B17"/>
    <w:rsid w:val="00450FDE"/>
    <w:rsid w:val="00451B25"/>
    <w:rsid w:val="0046127B"/>
    <w:rsid w:val="00465D6F"/>
    <w:rsid w:val="00470F2D"/>
    <w:rsid w:val="004718C6"/>
    <w:rsid w:val="00475684"/>
    <w:rsid w:val="00486D9B"/>
    <w:rsid w:val="004924B8"/>
    <w:rsid w:val="004C7104"/>
    <w:rsid w:val="004D7CF6"/>
    <w:rsid w:val="004F24BA"/>
    <w:rsid w:val="004F2A69"/>
    <w:rsid w:val="0050471D"/>
    <w:rsid w:val="005079A5"/>
    <w:rsid w:val="005B1ACC"/>
    <w:rsid w:val="005B7E0A"/>
    <w:rsid w:val="005C2E81"/>
    <w:rsid w:val="005C4E6C"/>
    <w:rsid w:val="005D4A83"/>
    <w:rsid w:val="005E2B21"/>
    <w:rsid w:val="00640C8E"/>
    <w:rsid w:val="00685C5A"/>
    <w:rsid w:val="006C654C"/>
    <w:rsid w:val="00704E3C"/>
    <w:rsid w:val="00706947"/>
    <w:rsid w:val="00733295"/>
    <w:rsid w:val="00765460"/>
    <w:rsid w:val="0078703A"/>
    <w:rsid w:val="007871D5"/>
    <w:rsid w:val="007C39F6"/>
    <w:rsid w:val="007C760D"/>
    <w:rsid w:val="007E4C53"/>
    <w:rsid w:val="007F2004"/>
    <w:rsid w:val="007F36BD"/>
    <w:rsid w:val="008169A9"/>
    <w:rsid w:val="00847EC2"/>
    <w:rsid w:val="00850C0F"/>
    <w:rsid w:val="008525AB"/>
    <w:rsid w:val="00861048"/>
    <w:rsid w:val="0087571E"/>
    <w:rsid w:val="00876DF9"/>
    <w:rsid w:val="008D119A"/>
    <w:rsid w:val="008E3A79"/>
    <w:rsid w:val="00912DC9"/>
    <w:rsid w:val="0093379E"/>
    <w:rsid w:val="009405B8"/>
    <w:rsid w:val="00944FF7"/>
    <w:rsid w:val="009510AF"/>
    <w:rsid w:val="00951F9C"/>
    <w:rsid w:val="00982A38"/>
    <w:rsid w:val="009879AF"/>
    <w:rsid w:val="00992B05"/>
    <w:rsid w:val="009C3227"/>
    <w:rsid w:val="009F1482"/>
    <w:rsid w:val="00A07CF3"/>
    <w:rsid w:val="00A21E90"/>
    <w:rsid w:val="00A26481"/>
    <w:rsid w:val="00A43810"/>
    <w:rsid w:val="00A466CC"/>
    <w:rsid w:val="00A6308D"/>
    <w:rsid w:val="00A64D2C"/>
    <w:rsid w:val="00A65ED8"/>
    <w:rsid w:val="00A927E7"/>
    <w:rsid w:val="00AB46F9"/>
    <w:rsid w:val="00AC3082"/>
    <w:rsid w:val="00AE2754"/>
    <w:rsid w:val="00AF61E6"/>
    <w:rsid w:val="00B10B18"/>
    <w:rsid w:val="00B241DD"/>
    <w:rsid w:val="00B46E14"/>
    <w:rsid w:val="00B57983"/>
    <w:rsid w:val="00B738D3"/>
    <w:rsid w:val="00BC33A7"/>
    <w:rsid w:val="00BD2756"/>
    <w:rsid w:val="00BD3A9A"/>
    <w:rsid w:val="00C06185"/>
    <w:rsid w:val="00C14482"/>
    <w:rsid w:val="00C27FA9"/>
    <w:rsid w:val="00C31FE0"/>
    <w:rsid w:val="00C4239B"/>
    <w:rsid w:val="00C52F57"/>
    <w:rsid w:val="00C75447"/>
    <w:rsid w:val="00C8027D"/>
    <w:rsid w:val="00C904D0"/>
    <w:rsid w:val="00C93FE1"/>
    <w:rsid w:val="00CA1736"/>
    <w:rsid w:val="00CB194D"/>
    <w:rsid w:val="00CD2B71"/>
    <w:rsid w:val="00CD6225"/>
    <w:rsid w:val="00CF1CFA"/>
    <w:rsid w:val="00D221A1"/>
    <w:rsid w:val="00D32C15"/>
    <w:rsid w:val="00D475C9"/>
    <w:rsid w:val="00D510ED"/>
    <w:rsid w:val="00D839E5"/>
    <w:rsid w:val="00D91121"/>
    <w:rsid w:val="00D940EC"/>
    <w:rsid w:val="00DA3323"/>
    <w:rsid w:val="00DB5F8C"/>
    <w:rsid w:val="00DE11D1"/>
    <w:rsid w:val="00DE30B3"/>
    <w:rsid w:val="00E20FC4"/>
    <w:rsid w:val="00E24D3E"/>
    <w:rsid w:val="00E438C7"/>
    <w:rsid w:val="00E7646E"/>
    <w:rsid w:val="00EC44A7"/>
    <w:rsid w:val="00ED18B3"/>
    <w:rsid w:val="00F10E92"/>
    <w:rsid w:val="00F22EAB"/>
    <w:rsid w:val="00F627B8"/>
    <w:rsid w:val="00F77AFC"/>
    <w:rsid w:val="00F90A09"/>
    <w:rsid w:val="00FA1092"/>
    <w:rsid w:val="00FC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6C"/>
    <w:rPr>
      <w:rFonts w:ascii="Times New Roman" w:eastAsia="Times New Roman" w:hAnsi="Times New Roman"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E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C4E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ColorfulList-Accent11">
    <w:name w:val="Colorful List - Accent 11"/>
    <w:basedOn w:val="Normal"/>
    <w:uiPriority w:val="34"/>
    <w:qFormat/>
    <w:rsid w:val="005C4E6C"/>
    <w:pPr>
      <w:ind w:left="720"/>
      <w:contextualSpacing/>
    </w:pPr>
  </w:style>
  <w:style w:type="paragraph" w:customStyle="1" w:styleId="StyleArial14ptBoldJustified">
    <w:name w:val="Style Arial 14 pt Bold Justified"/>
    <w:basedOn w:val="Normal"/>
    <w:rsid w:val="005C4E6C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character" w:customStyle="1" w:styleId="Enfasidelicata">
    <w:name w:val="Enfasi delicata"/>
    <w:basedOn w:val="DefaultParagraphFont"/>
    <w:uiPriority w:val="19"/>
    <w:qFormat/>
    <w:rsid w:val="005C4E6C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C4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E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90"/>
    <w:rPr>
      <w:rFonts w:ascii="Tahoma" w:eastAsia="Times New Roman" w:hAnsi="Tahoma" w:cs="Tahoma"/>
      <w:sz w:val="16"/>
      <w:szCs w:val="16"/>
      <w:lang w:val="pt-PT"/>
    </w:rPr>
  </w:style>
  <w:style w:type="paragraph" w:styleId="ListBullet2">
    <w:name w:val="List Bullet 2"/>
    <w:basedOn w:val="Normal"/>
    <w:rsid w:val="004718C6"/>
    <w:pPr>
      <w:numPr>
        <w:numId w:val="11"/>
      </w:numPr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AF61E6"/>
    <w:rPr>
      <w:color w:val="0000FF" w:themeColor="hyperlink"/>
      <w:u w:val="single"/>
    </w:rPr>
  </w:style>
  <w:style w:type="paragraph" w:customStyle="1" w:styleId="Default">
    <w:name w:val="Default"/>
    <w:rsid w:val="00C06185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06185"/>
    <w:pPr>
      <w:spacing w:line="273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C27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okfordiagnosis.com/mesh_info.php?term=S&#237;filis&amp;lang=2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D247-F001-42F7-AE43-09DA321E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1372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anabelaa</cp:lastModifiedBy>
  <cp:revision>5</cp:revision>
  <cp:lastPrinted>2011-08-03T14:27:00Z</cp:lastPrinted>
  <dcterms:created xsi:type="dcterms:W3CDTF">2011-09-07T08:27:00Z</dcterms:created>
  <dcterms:modified xsi:type="dcterms:W3CDTF">2013-02-25T13:48:00Z</dcterms:modified>
</cp:coreProperties>
</file>